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12610" w14:textId="77777777" w:rsidR="0012210E" w:rsidRDefault="00C402A6">
      <w:pPr>
        <w:rPr>
          <w:color w:val="003399"/>
          <w:szCs w:val="24"/>
        </w:rPr>
      </w:pPr>
      <w:r>
        <w:rPr>
          <w:noProof/>
        </w:rPr>
        <w:drawing>
          <wp:anchor distT="0" distB="0" distL="114300" distR="114300" simplePos="0" relativeHeight="251675648" behindDoc="0" locked="0" layoutInCell="1" allowOverlap="1" wp14:anchorId="5B57F74F" wp14:editId="58B76EC2">
            <wp:simplePos x="457200" y="533400"/>
            <wp:positionH relativeFrom="column">
              <wp:align>left</wp:align>
            </wp:positionH>
            <wp:positionV relativeFrom="paragraph">
              <wp:align>top</wp:align>
            </wp:positionV>
            <wp:extent cx="1152525" cy="1028700"/>
            <wp:effectExtent l="0" t="0" r="9525" b="0"/>
            <wp:wrapSquare wrapText="bothSides"/>
            <wp:docPr id="2" name="Picture 2" descr="C:\Users\gmm\Downloads\Small logo jpeg.jpg"/>
            <wp:cNvGraphicFramePr/>
            <a:graphic xmlns:a="http://schemas.openxmlformats.org/drawingml/2006/main">
              <a:graphicData uri="http://schemas.openxmlformats.org/drawingml/2006/picture">
                <pic:pic xmlns:pic="http://schemas.openxmlformats.org/drawingml/2006/picture">
                  <pic:nvPicPr>
                    <pic:cNvPr id="1" name="Picture 1" descr="C:\Users\gmm\Downloads\Small logo jpeg.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028700"/>
                    </a:xfrm>
                    <a:prstGeom prst="rect">
                      <a:avLst/>
                    </a:prstGeom>
                    <a:noFill/>
                    <a:ln>
                      <a:noFill/>
                    </a:ln>
                  </pic:spPr>
                </pic:pic>
              </a:graphicData>
            </a:graphic>
          </wp:anchor>
        </w:drawing>
      </w:r>
    </w:p>
    <w:p w14:paraId="421DFC6B" w14:textId="77777777" w:rsidR="0012210E" w:rsidRDefault="00C402A6">
      <w:pPr>
        <w:tabs>
          <w:tab w:val="left" w:pos="6912"/>
        </w:tabs>
        <w:rPr>
          <w:color w:val="003399"/>
          <w:szCs w:val="24"/>
        </w:rPr>
      </w:pPr>
      <w:r>
        <w:rPr>
          <w:noProof/>
        </w:rPr>
        <w:drawing>
          <wp:anchor distT="0" distB="0" distL="114300" distR="114300" simplePos="0" relativeHeight="251677696" behindDoc="0" locked="0" layoutInCell="1" allowOverlap="1" wp14:anchorId="1020F93F" wp14:editId="5C06A786">
            <wp:simplePos x="0" y="0"/>
            <wp:positionH relativeFrom="column">
              <wp:posOffset>5261610</wp:posOffset>
            </wp:positionH>
            <wp:positionV relativeFrom="paragraph">
              <wp:posOffset>15240</wp:posOffset>
            </wp:positionV>
            <wp:extent cx="739140" cy="635635"/>
            <wp:effectExtent l="0" t="0" r="3810" b="0"/>
            <wp:wrapNone/>
            <wp:docPr id="1" name="Picture 1"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3399"/>
          <w:szCs w:val="24"/>
        </w:rPr>
        <w:tab/>
      </w:r>
      <w:r>
        <w:rPr>
          <w:color w:val="003399"/>
          <w:szCs w:val="24"/>
        </w:rPr>
        <w:br w:type="textWrapping" w:clear="all"/>
      </w:r>
    </w:p>
    <w:p w14:paraId="13697A8D" w14:textId="77777777" w:rsidR="0012210E" w:rsidRDefault="0012210E">
      <w:pPr>
        <w:rPr>
          <w:color w:val="003399"/>
          <w:szCs w:val="24"/>
        </w:rPr>
      </w:pPr>
    </w:p>
    <w:p w14:paraId="508F395B" w14:textId="77777777" w:rsidR="0012210E" w:rsidRDefault="0012210E">
      <w:pPr>
        <w:rPr>
          <w:color w:val="003399"/>
          <w:szCs w:val="24"/>
        </w:rPr>
      </w:pPr>
    </w:p>
    <w:p w14:paraId="21983280" w14:textId="77777777" w:rsidR="0012210E" w:rsidRDefault="0012210E">
      <w:pPr>
        <w:rPr>
          <w:color w:val="003399"/>
          <w:szCs w:val="24"/>
        </w:rPr>
      </w:pPr>
    </w:p>
    <w:p w14:paraId="66D61531" w14:textId="77777777" w:rsidR="0012210E" w:rsidRDefault="0012210E">
      <w:pPr>
        <w:rPr>
          <w:color w:val="003399"/>
          <w:szCs w:val="24"/>
        </w:rPr>
      </w:pPr>
    </w:p>
    <w:p w14:paraId="3DF7D796" w14:textId="77777777" w:rsidR="0012210E" w:rsidRDefault="0012210E">
      <w:pPr>
        <w:rPr>
          <w:color w:val="003399"/>
          <w:szCs w:val="24"/>
        </w:rPr>
      </w:pPr>
    </w:p>
    <w:p w14:paraId="681666B6" w14:textId="77777777" w:rsidR="0012210E" w:rsidRDefault="0012210E">
      <w:pPr>
        <w:rPr>
          <w:color w:val="003399"/>
          <w:szCs w:val="24"/>
        </w:rPr>
      </w:pPr>
    </w:p>
    <w:p w14:paraId="3E6F506C" w14:textId="77777777" w:rsidR="0012210E" w:rsidRDefault="0012210E">
      <w:pPr>
        <w:rPr>
          <w:color w:val="003399"/>
          <w:szCs w:val="24"/>
        </w:rPr>
      </w:pPr>
    </w:p>
    <w:p w14:paraId="4F6D262F" w14:textId="77777777" w:rsidR="0012210E" w:rsidRDefault="0012210E">
      <w:pPr>
        <w:rPr>
          <w:color w:val="003399"/>
          <w:szCs w:val="24"/>
        </w:rPr>
      </w:pPr>
    </w:p>
    <w:p w14:paraId="295EC8F2" w14:textId="77777777" w:rsidR="0012210E" w:rsidRDefault="00C402A6">
      <w:pPr>
        <w:spacing w:line="276" w:lineRule="auto"/>
        <w:jc w:val="center"/>
        <w:rPr>
          <w:b/>
          <w:color w:val="003399"/>
          <w:sz w:val="72"/>
          <w:szCs w:val="72"/>
        </w:rPr>
      </w:pPr>
      <w:r>
        <w:rPr>
          <w:b/>
          <w:color w:val="003399"/>
          <w:sz w:val="72"/>
          <w:szCs w:val="72"/>
        </w:rPr>
        <w:t>Access arrangements policy</w:t>
      </w:r>
    </w:p>
    <w:p w14:paraId="344FA6A9" w14:textId="29F97F19" w:rsidR="0012210E" w:rsidRDefault="00C402A6">
      <w:pPr>
        <w:jc w:val="center"/>
        <w:rPr>
          <w:b/>
          <w:color w:val="FF3300"/>
          <w:sz w:val="72"/>
          <w:szCs w:val="72"/>
        </w:rPr>
      </w:pPr>
      <w:r>
        <w:rPr>
          <w:color w:val="FF3300"/>
          <w:sz w:val="72"/>
          <w:szCs w:val="72"/>
        </w:rPr>
        <w:t>202</w:t>
      </w:r>
      <w:r w:rsidR="003271DF">
        <w:rPr>
          <w:color w:val="FF3300"/>
          <w:sz w:val="72"/>
          <w:szCs w:val="72"/>
        </w:rPr>
        <w:t>5</w:t>
      </w:r>
      <w:r>
        <w:rPr>
          <w:color w:val="FF3300"/>
          <w:sz w:val="72"/>
          <w:szCs w:val="72"/>
        </w:rPr>
        <w:t>/2</w:t>
      </w:r>
      <w:r w:rsidR="003271DF">
        <w:rPr>
          <w:color w:val="FF3300"/>
          <w:sz w:val="72"/>
          <w:szCs w:val="72"/>
        </w:rPr>
        <w:t>6</w:t>
      </w:r>
    </w:p>
    <w:p w14:paraId="6EB96474" w14:textId="77777777" w:rsidR="0012210E" w:rsidRDefault="0012210E">
      <w:pPr>
        <w:autoSpaceDE w:val="0"/>
        <w:autoSpaceDN w:val="0"/>
        <w:adjustRightInd w:val="0"/>
        <w:spacing w:line="276" w:lineRule="auto"/>
        <w:rPr>
          <w:szCs w:val="24"/>
        </w:rPr>
      </w:pPr>
    </w:p>
    <w:p w14:paraId="594FA5C8" w14:textId="77777777" w:rsidR="0012210E" w:rsidRDefault="0012210E">
      <w:pPr>
        <w:autoSpaceDE w:val="0"/>
        <w:autoSpaceDN w:val="0"/>
        <w:adjustRightInd w:val="0"/>
        <w:spacing w:line="276" w:lineRule="auto"/>
        <w:rPr>
          <w:szCs w:val="24"/>
        </w:rPr>
      </w:pPr>
    </w:p>
    <w:p w14:paraId="5F97DC5F" w14:textId="77777777" w:rsidR="0012210E" w:rsidRDefault="0012210E">
      <w:pPr>
        <w:autoSpaceDE w:val="0"/>
        <w:autoSpaceDN w:val="0"/>
        <w:adjustRightInd w:val="0"/>
        <w:spacing w:line="276" w:lineRule="auto"/>
        <w:rPr>
          <w:szCs w:val="24"/>
        </w:rPr>
      </w:pPr>
    </w:p>
    <w:p w14:paraId="5FEE05DF" w14:textId="77777777" w:rsidR="0012210E" w:rsidRDefault="0012210E">
      <w:pPr>
        <w:autoSpaceDE w:val="0"/>
        <w:autoSpaceDN w:val="0"/>
        <w:adjustRightInd w:val="0"/>
        <w:spacing w:line="276" w:lineRule="auto"/>
        <w:rPr>
          <w:szCs w:val="24"/>
        </w:rPr>
      </w:pPr>
    </w:p>
    <w:p w14:paraId="4964224A" w14:textId="77777777" w:rsidR="0012210E" w:rsidRDefault="0012210E">
      <w:pPr>
        <w:autoSpaceDE w:val="0"/>
        <w:autoSpaceDN w:val="0"/>
        <w:adjustRightInd w:val="0"/>
        <w:spacing w:line="276" w:lineRule="auto"/>
        <w:rPr>
          <w:szCs w:val="24"/>
        </w:rPr>
      </w:pPr>
    </w:p>
    <w:p w14:paraId="21844867" w14:textId="77777777" w:rsidR="0012210E" w:rsidRDefault="0012210E">
      <w:pPr>
        <w:autoSpaceDE w:val="0"/>
        <w:autoSpaceDN w:val="0"/>
        <w:adjustRightInd w:val="0"/>
        <w:spacing w:line="276" w:lineRule="auto"/>
        <w:rPr>
          <w:szCs w:val="24"/>
        </w:rPr>
      </w:pPr>
    </w:p>
    <w:p w14:paraId="6ADA50E3" w14:textId="77777777" w:rsidR="0012210E" w:rsidRDefault="0012210E">
      <w:pPr>
        <w:autoSpaceDE w:val="0"/>
        <w:autoSpaceDN w:val="0"/>
        <w:adjustRightInd w:val="0"/>
        <w:spacing w:line="276" w:lineRule="auto"/>
        <w:rPr>
          <w:szCs w:val="24"/>
        </w:rPr>
      </w:pPr>
    </w:p>
    <w:p w14:paraId="545DFA84" w14:textId="77777777" w:rsidR="0012210E" w:rsidRDefault="0012210E">
      <w:pPr>
        <w:autoSpaceDE w:val="0"/>
        <w:autoSpaceDN w:val="0"/>
        <w:adjustRightInd w:val="0"/>
        <w:spacing w:line="276" w:lineRule="auto"/>
        <w:rPr>
          <w:szCs w:val="24"/>
        </w:rPr>
      </w:pPr>
    </w:p>
    <w:p w14:paraId="34608314" w14:textId="77777777" w:rsidR="0012210E" w:rsidRDefault="0012210E">
      <w:pPr>
        <w:autoSpaceDE w:val="0"/>
        <w:autoSpaceDN w:val="0"/>
        <w:adjustRightInd w:val="0"/>
        <w:spacing w:line="276" w:lineRule="auto"/>
        <w:rPr>
          <w:szCs w:val="24"/>
        </w:rPr>
      </w:pPr>
    </w:p>
    <w:p w14:paraId="75916A08" w14:textId="77777777" w:rsidR="0012210E" w:rsidRDefault="0012210E">
      <w:pPr>
        <w:autoSpaceDE w:val="0"/>
        <w:autoSpaceDN w:val="0"/>
        <w:adjustRightInd w:val="0"/>
        <w:spacing w:line="276" w:lineRule="auto"/>
        <w:rPr>
          <w:szCs w:val="24"/>
        </w:rPr>
      </w:pPr>
    </w:p>
    <w:p w14:paraId="669DB7F4" w14:textId="77777777" w:rsidR="0012210E" w:rsidRDefault="0012210E">
      <w:pPr>
        <w:autoSpaceDE w:val="0"/>
        <w:autoSpaceDN w:val="0"/>
        <w:adjustRightInd w:val="0"/>
        <w:spacing w:line="276" w:lineRule="auto"/>
        <w:rPr>
          <w:szCs w:val="24"/>
        </w:rPr>
      </w:pPr>
    </w:p>
    <w:p w14:paraId="4BA70001" w14:textId="77777777" w:rsidR="0012210E" w:rsidRDefault="0012210E">
      <w:pPr>
        <w:autoSpaceDE w:val="0"/>
        <w:autoSpaceDN w:val="0"/>
        <w:adjustRightInd w:val="0"/>
        <w:spacing w:line="276" w:lineRule="auto"/>
        <w:rPr>
          <w:szCs w:val="24"/>
        </w:rPr>
      </w:pPr>
    </w:p>
    <w:p w14:paraId="60B80393" w14:textId="77777777" w:rsidR="0012210E" w:rsidRDefault="00C402A6">
      <w:pPr>
        <w:spacing w:line="276" w:lineRule="auto"/>
        <w:jc w:val="right"/>
        <w:rPr>
          <w:szCs w:val="24"/>
        </w:rPr>
      </w:pPr>
      <w:r>
        <w:rPr>
          <w:szCs w:val="24"/>
        </w:rPr>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724"/>
        <w:gridCol w:w="2245"/>
      </w:tblGrid>
      <w:tr w:rsidR="0012210E" w14:paraId="2B9FB6C9" w14:textId="77777777">
        <w:tc>
          <w:tcPr>
            <w:tcW w:w="3969" w:type="dxa"/>
            <w:gridSpan w:val="2"/>
            <w:tcBorders>
              <w:top w:val="single" w:sz="8" w:space="0" w:color="FF3300"/>
              <w:left w:val="single" w:sz="8" w:space="0" w:color="FF3300"/>
              <w:bottom w:val="single" w:sz="8" w:space="0" w:color="FF3300"/>
              <w:right w:val="single" w:sz="8" w:space="0" w:color="FF3300"/>
            </w:tcBorders>
            <w:shd w:val="clear" w:color="auto" w:fill="FDE9D9" w:themeFill="accent6" w:themeFillTint="33"/>
            <w:vAlign w:val="center"/>
          </w:tcPr>
          <w:p w14:paraId="0E6DF6BF" w14:textId="77777777" w:rsidR="0012210E" w:rsidRDefault="00C402A6">
            <w:pPr>
              <w:spacing w:line="276" w:lineRule="auto"/>
              <w:jc w:val="both"/>
              <w:rPr>
                <w:rFonts w:ascii="Rockwell Condensed" w:hAnsi="Rockwell Condensed" w:cs="Arial"/>
                <w:szCs w:val="24"/>
              </w:rPr>
            </w:pPr>
            <w:bookmarkStart w:id="0" w:name="_Toc490256598"/>
            <w:r>
              <w:rPr>
                <w:rFonts w:ascii="Rockwell Condensed" w:hAnsi="Rockwell Condensed" w:cs="Arial"/>
                <w:szCs w:val="24"/>
              </w:rPr>
              <w:t>Approved/reviewed by</w:t>
            </w:r>
          </w:p>
        </w:tc>
      </w:tr>
      <w:tr w:rsidR="0012210E" w14:paraId="496740C1" w14:textId="77777777">
        <w:tc>
          <w:tcPr>
            <w:tcW w:w="3969" w:type="dxa"/>
            <w:gridSpan w:val="2"/>
            <w:tcBorders>
              <w:top w:val="single" w:sz="8" w:space="0" w:color="FF3300"/>
              <w:left w:val="single" w:sz="8" w:space="0" w:color="FF3300"/>
              <w:bottom w:val="single" w:sz="8" w:space="0" w:color="FF3300"/>
              <w:right w:val="single" w:sz="8" w:space="0" w:color="FF3300"/>
            </w:tcBorders>
            <w:vAlign w:val="center"/>
          </w:tcPr>
          <w:p w14:paraId="2933F5BE" w14:textId="77777777" w:rsidR="0012210E" w:rsidRDefault="0012210E">
            <w:pPr>
              <w:spacing w:line="276" w:lineRule="auto"/>
              <w:jc w:val="both"/>
              <w:rPr>
                <w:rFonts w:cs="Arial"/>
              </w:rPr>
            </w:pPr>
          </w:p>
        </w:tc>
      </w:tr>
      <w:tr w:rsidR="0012210E" w14:paraId="30D9A336" w14:textId="77777777">
        <w:tc>
          <w:tcPr>
            <w:tcW w:w="1724" w:type="dxa"/>
            <w:tcBorders>
              <w:top w:val="single" w:sz="8" w:space="0" w:color="FF3300"/>
              <w:left w:val="single" w:sz="8" w:space="0" w:color="FF3300"/>
              <w:bottom w:val="single" w:sz="8" w:space="0" w:color="FF3300"/>
              <w:right w:val="single" w:sz="8" w:space="0" w:color="FF3300"/>
            </w:tcBorders>
            <w:shd w:val="clear" w:color="auto" w:fill="FDE9D9" w:themeFill="accent6" w:themeFillTint="33"/>
            <w:vAlign w:val="center"/>
          </w:tcPr>
          <w:p w14:paraId="192C17F0" w14:textId="77777777" w:rsidR="0012210E" w:rsidRDefault="00C402A6">
            <w:pPr>
              <w:spacing w:line="276" w:lineRule="auto"/>
              <w:ind w:left="1080" w:hanging="1080"/>
              <w:jc w:val="both"/>
              <w:rPr>
                <w:rFonts w:ascii="Rockwell Condensed" w:hAnsi="Rockwell Condensed" w:cs="Arial"/>
                <w:szCs w:val="24"/>
              </w:rPr>
            </w:pPr>
            <w:r>
              <w:rPr>
                <w:rFonts w:ascii="Rockwell Condensed" w:hAnsi="Rockwell Condensed" w:cs="Arial"/>
                <w:szCs w:val="24"/>
              </w:rPr>
              <w:t>Date of next review</w:t>
            </w:r>
          </w:p>
        </w:tc>
        <w:tc>
          <w:tcPr>
            <w:tcW w:w="2245" w:type="dxa"/>
            <w:tcBorders>
              <w:top w:val="single" w:sz="8" w:space="0" w:color="FF3300"/>
              <w:left w:val="single" w:sz="8" w:space="0" w:color="FF3300"/>
              <w:bottom w:val="single" w:sz="8" w:space="0" w:color="FF3300"/>
              <w:right w:val="single" w:sz="8" w:space="0" w:color="FF3300"/>
            </w:tcBorders>
            <w:vAlign w:val="center"/>
          </w:tcPr>
          <w:p w14:paraId="4B9F1446" w14:textId="77777777" w:rsidR="0012210E" w:rsidRDefault="0012210E">
            <w:pPr>
              <w:spacing w:line="276" w:lineRule="auto"/>
              <w:jc w:val="both"/>
              <w:rPr>
                <w:rFonts w:cs="Arial"/>
              </w:rPr>
            </w:pPr>
          </w:p>
        </w:tc>
      </w:tr>
    </w:tbl>
    <w:p w14:paraId="28572A08" w14:textId="77777777" w:rsidR="0012210E" w:rsidRDefault="0012210E">
      <w:pPr>
        <w:pStyle w:val="Headinglevel1"/>
        <w:tabs>
          <w:tab w:val="left" w:pos="8870"/>
        </w:tabs>
        <w:spacing w:before="240" w:line="276" w:lineRule="auto"/>
      </w:pPr>
    </w:p>
    <w:p w14:paraId="32F43F76" w14:textId="77777777" w:rsidR="0012210E" w:rsidRDefault="00C402A6">
      <w:pPr>
        <w:pStyle w:val="Headinglevel1"/>
        <w:tabs>
          <w:tab w:val="left" w:pos="8870"/>
        </w:tabs>
        <w:spacing w:before="240" w:line="276" w:lineRule="auto"/>
      </w:pPr>
      <w:r>
        <w:tab/>
      </w:r>
    </w:p>
    <w:p w14:paraId="5F336171" w14:textId="77777777" w:rsidR="0012210E" w:rsidRDefault="00C402A6">
      <w:pPr>
        <w:pStyle w:val="Headinglevel1"/>
        <w:spacing w:before="240" w:line="276" w:lineRule="auto"/>
        <w:rPr>
          <w:szCs w:val="24"/>
        </w:rPr>
      </w:pPr>
      <w:bookmarkStart w:id="1" w:name="_Toc22487617"/>
      <w:r>
        <w:rPr>
          <w:szCs w:val="24"/>
        </w:rPr>
        <w:lastRenderedPageBreak/>
        <w:t>Key staff involved in the policy</w:t>
      </w:r>
      <w:bookmarkEnd w:id="1"/>
    </w:p>
    <w:tbl>
      <w:tblPr>
        <w:tblStyle w:val="TableGrid"/>
        <w:tblW w:w="0" w:type="auto"/>
        <w:tblBorders>
          <w:top w:val="single" w:sz="8" w:space="0" w:color="FF3300"/>
          <w:left w:val="single" w:sz="8" w:space="0" w:color="FF3300"/>
          <w:bottom w:val="single" w:sz="8" w:space="0" w:color="FF3300"/>
          <w:right w:val="single" w:sz="8" w:space="0" w:color="FF3300"/>
          <w:insideH w:val="single" w:sz="4" w:space="0" w:color="FF3300"/>
          <w:insideV w:val="single" w:sz="4" w:space="0" w:color="FF3300"/>
        </w:tblBorders>
        <w:tblLook w:val="04A0" w:firstRow="1" w:lastRow="0" w:firstColumn="1" w:lastColumn="0" w:noHBand="0" w:noVBand="1"/>
      </w:tblPr>
      <w:tblGrid>
        <w:gridCol w:w="3392"/>
        <w:gridCol w:w="6640"/>
      </w:tblGrid>
      <w:tr w:rsidR="0012210E" w14:paraId="5CABD25B" w14:textId="77777777">
        <w:tc>
          <w:tcPr>
            <w:tcW w:w="3392" w:type="dxa"/>
            <w:shd w:val="clear" w:color="auto" w:fill="FDE9D9" w:themeFill="accent6" w:themeFillTint="33"/>
          </w:tcPr>
          <w:p w14:paraId="512E0225" w14:textId="77777777" w:rsidR="0012210E" w:rsidRDefault="00C402A6">
            <w:pPr>
              <w:jc w:val="both"/>
              <w:rPr>
                <w:rFonts w:ascii="Rockwell Condensed" w:hAnsi="Rockwell Condensed"/>
                <w:b/>
              </w:rPr>
            </w:pPr>
            <w:bookmarkStart w:id="2" w:name="_Hlk20227038"/>
            <w:bookmarkStart w:id="3" w:name="_Hlk20226988"/>
            <w:r>
              <w:rPr>
                <w:rFonts w:ascii="Rockwell Condensed" w:hAnsi="Rockwell Condensed"/>
                <w:b/>
              </w:rPr>
              <w:t>Role</w:t>
            </w:r>
          </w:p>
        </w:tc>
        <w:tc>
          <w:tcPr>
            <w:tcW w:w="6640" w:type="dxa"/>
            <w:shd w:val="clear" w:color="auto" w:fill="FDE9D9" w:themeFill="accent6" w:themeFillTint="33"/>
          </w:tcPr>
          <w:p w14:paraId="6D1513F7" w14:textId="77777777" w:rsidR="0012210E" w:rsidRDefault="00C402A6">
            <w:pPr>
              <w:jc w:val="both"/>
              <w:rPr>
                <w:rFonts w:ascii="Rockwell Condensed" w:hAnsi="Rockwell Condensed"/>
                <w:b/>
              </w:rPr>
            </w:pPr>
            <w:r>
              <w:rPr>
                <w:rFonts w:ascii="Rockwell Condensed" w:hAnsi="Rockwell Condensed"/>
                <w:b/>
              </w:rPr>
              <w:t>Name(s)</w:t>
            </w:r>
          </w:p>
        </w:tc>
      </w:tr>
      <w:tr w:rsidR="0012210E" w14:paraId="009031A8" w14:textId="77777777">
        <w:tc>
          <w:tcPr>
            <w:tcW w:w="3392" w:type="dxa"/>
          </w:tcPr>
          <w:p w14:paraId="46B1CEFD" w14:textId="07E54C96" w:rsidR="0012210E" w:rsidRPr="000B5A43" w:rsidRDefault="00C402A6">
            <w:pPr>
              <w:jc w:val="both"/>
            </w:pPr>
            <w:r w:rsidRPr="000B5A43">
              <w:t>SENCo</w:t>
            </w:r>
          </w:p>
        </w:tc>
        <w:tc>
          <w:tcPr>
            <w:tcW w:w="6640" w:type="dxa"/>
          </w:tcPr>
          <w:p w14:paraId="2E5EA943" w14:textId="3AF7E259" w:rsidR="0012210E" w:rsidRDefault="000B5A43">
            <w:pPr>
              <w:jc w:val="both"/>
              <w:rPr>
                <w:b/>
              </w:rPr>
            </w:pPr>
            <w:r>
              <w:rPr>
                <w:b/>
              </w:rPr>
              <w:t>P Gardiner</w:t>
            </w:r>
          </w:p>
        </w:tc>
      </w:tr>
      <w:tr w:rsidR="0012210E" w14:paraId="7F7A454A" w14:textId="77777777">
        <w:tc>
          <w:tcPr>
            <w:tcW w:w="3392" w:type="dxa"/>
          </w:tcPr>
          <w:p w14:paraId="36CDA3FE" w14:textId="4B52924D" w:rsidR="0012210E" w:rsidRPr="000B5A43" w:rsidRDefault="00C402A6">
            <w:pPr>
              <w:jc w:val="both"/>
            </w:pPr>
            <w:r w:rsidRPr="000B5A43">
              <w:t>Senior Leader</w:t>
            </w:r>
            <w:r w:rsidR="000B5A43">
              <w:t>(s)</w:t>
            </w:r>
          </w:p>
        </w:tc>
        <w:tc>
          <w:tcPr>
            <w:tcW w:w="6640" w:type="dxa"/>
          </w:tcPr>
          <w:p w14:paraId="0A191654" w14:textId="769EFFCD" w:rsidR="0012210E" w:rsidRDefault="000B5A43">
            <w:pPr>
              <w:jc w:val="both"/>
              <w:rPr>
                <w:b/>
              </w:rPr>
            </w:pPr>
            <w:r>
              <w:rPr>
                <w:b/>
              </w:rPr>
              <w:t xml:space="preserve">L Cassels, S Reilly, J Watkinson, </w:t>
            </w:r>
            <w:r w:rsidR="003271DF">
              <w:rPr>
                <w:b/>
              </w:rPr>
              <w:t>R Bushell</w:t>
            </w:r>
          </w:p>
        </w:tc>
      </w:tr>
      <w:tr w:rsidR="0012210E" w14:paraId="23738C01" w14:textId="77777777">
        <w:tc>
          <w:tcPr>
            <w:tcW w:w="3392" w:type="dxa"/>
          </w:tcPr>
          <w:p w14:paraId="10C1319B" w14:textId="77777777" w:rsidR="0012210E" w:rsidRPr="000B5A43" w:rsidRDefault="00C402A6">
            <w:pPr>
              <w:jc w:val="both"/>
            </w:pPr>
            <w:r w:rsidRPr="000B5A43">
              <w:t>Head of centre</w:t>
            </w:r>
          </w:p>
        </w:tc>
        <w:tc>
          <w:tcPr>
            <w:tcW w:w="6640" w:type="dxa"/>
          </w:tcPr>
          <w:p w14:paraId="5E98B563" w14:textId="77777777" w:rsidR="0012210E" w:rsidRDefault="00C402A6">
            <w:pPr>
              <w:jc w:val="both"/>
              <w:rPr>
                <w:b/>
              </w:rPr>
            </w:pPr>
            <w:r>
              <w:rPr>
                <w:b/>
              </w:rPr>
              <w:t>V Whitcombe</w:t>
            </w:r>
          </w:p>
        </w:tc>
      </w:tr>
      <w:tr w:rsidR="0012210E" w14:paraId="3AC7ABE6" w14:textId="77777777">
        <w:tc>
          <w:tcPr>
            <w:tcW w:w="3392" w:type="dxa"/>
          </w:tcPr>
          <w:p w14:paraId="22CED191" w14:textId="77777777" w:rsidR="0012210E" w:rsidRPr="000B5A43" w:rsidRDefault="00C402A6">
            <w:pPr>
              <w:jc w:val="both"/>
            </w:pPr>
            <w:r w:rsidRPr="000B5A43">
              <w:t>Assessor(s)</w:t>
            </w:r>
          </w:p>
        </w:tc>
        <w:tc>
          <w:tcPr>
            <w:tcW w:w="6640" w:type="dxa"/>
          </w:tcPr>
          <w:p w14:paraId="068F193B" w14:textId="3737EA79" w:rsidR="00CC5FE0" w:rsidRDefault="00CC5FE0">
            <w:pPr>
              <w:jc w:val="both"/>
              <w:rPr>
                <w:b/>
              </w:rPr>
            </w:pPr>
            <w:r>
              <w:rPr>
                <w:b/>
              </w:rPr>
              <w:t>Kirsty Richards</w:t>
            </w:r>
            <w:r w:rsidR="003271DF">
              <w:rPr>
                <w:b/>
              </w:rPr>
              <w:t xml:space="preserve"> / Claire Plunkett</w:t>
            </w:r>
          </w:p>
        </w:tc>
      </w:tr>
      <w:tr w:rsidR="000B5A43" w14:paraId="2313A118" w14:textId="77777777">
        <w:tc>
          <w:tcPr>
            <w:tcW w:w="3392" w:type="dxa"/>
          </w:tcPr>
          <w:p w14:paraId="32B27FB1" w14:textId="439EC21C" w:rsidR="000B5A43" w:rsidRPr="000B5A43" w:rsidRDefault="000B5A43">
            <w:pPr>
              <w:jc w:val="both"/>
            </w:pPr>
            <w:r>
              <w:t>Exams Officer</w:t>
            </w:r>
          </w:p>
        </w:tc>
        <w:tc>
          <w:tcPr>
            <w:tcW w:w="6640" w:type="dxa"/>
          </w:tcPr>
          <w:p w14:paraId="04D96566" w14:textId="3AB91E71" w:rsidR="000B5A43" w:rsidRDefault="000B5A43">
            <w:pPr>
              <w:jc w:val="both"/>
              <w:rPr>
                <w:b/>
              </w:rPr>
            </w:pPr>
            <w:r>
              <w:rPr>
                <w:b/>
              </w:rPr>
              <w:t>P Cleary</w:t>
            </w:r>
          </w:p>
        </w:tc>
      </w:tr>
      <w:tr w:rsidR="0012210E" w14:paraId="39BE8398" w14:textId="77777777">
        <w:tc>
          <w:tcPr>
            <w:tcW w:w="3392" w:type="dxa"/>
          </w:tcPr>
          <w:p w14:paraId="191A6AA0" w14:textId="65F72B15" w:rsidR="0012210E" w:rsidRPr="000B5A43" w:rsidRDefault="00C402A6">
            <w:pPr>
              <w:jc w:val="both"/>
            </w:pPr>
            <w:r w:rsidRPr="000B5A43">
              <w:t>Access</w:t>
            </w:r>
            <w:r w:rsidR="000B5A43">
              <w:t xml:space="preserve"> </w:t>
            </w:r>
            <w:r w:rsidRPr="000B5A43">
              <w:t xml:space="preserve">arrangement facilitator(s) </w:t>
            </w:r>
          </w:p>
        </w:tc>
        <w:tc>
          <w:tcPr>
            <w:tcW w:w="6640" w:type="dxa"/>
          </w:tcPr>
          <w:p w14:paraId="25794E53" w14:textId="5D474995" w:rsidR="0012210E" w:rsidRDefault="000B5A43">
            <w:pPr>
              <w:jc w:val="both"/>
              <w:rPr>
                <w:b/>
              </w:rPr>
            </w:pPr>
            <w:r>
              <w:rPr>
                <w:b/>
              </w:rPr>
              <w:t>P Gardiner</w:t>
            </w:r>
            <w:r w:rsidR="00C402A6">
              <w:rPr>
                <w:b/>
              </w:rPr>
              <w:t>, P Cleary, J Jacobs</w:t>
            </w:r>
          </w:p>
        </w:tc>
      </w:tr>
      <w:bookmarkEnd w:id="2"/>
    </w:tbl>
    <w:p w14:paraId="5CCB35F5" w14:textId="77777777" w:rsidR="0012210E" w:rsidRDefault="0012210E">
      <w:pPr>
        <w:spacing w:after="200" w:line="276" w:lineRule="auto"/>
        <w:rPr>
          <w:rFonts w:cs="Arial"/>
          <w:b/>
          <w:noProof/>
          <w:color w:val="003399"/>
          <w:sz w:val="28"/>
          <w:szCs w:val="28"/>
        </w:rPr>
      </w:pPr>
    </w:p>
    <w:p w14:paraId="7AE1ECBD" w14:textId="77777777" w:rsidR="0012210E" w:rsidRDefault="00C402A6">
      <w:pPr>
        <w:spacing w:before="0" w:after="200" w:line="276" w:lineRule="auto"/>
        <w:rPr>
          <w:rFonts w:cs="Arial"/>
          <w:b/>
          <w:noProof/>
          <w:color w:val="003399"/>
          <w:sz w:val="28"/>
          <w:szCs w:val="28"/>
        </w:rPr>
      </w:pPr>
      <w:r>
        <w:rPr>
          <w:rFonts w:cs="Arial"/>
          <w:b/>
          <w:noProof/>
          <w:color w:val="FF3300"/>
        </w:rPr>
        <mc:AlternateContent>
          <mc:Choice Requires="wps">
            <w:drawing>
              <wp:anchor distT="0" distB="0" distL="114300" distR="114300" simplePos="0" relativeHeight="251672576" behindDoc="0" locked="0" layoutInCell="1" allowOverlap="1" wp14:anchorId="06559E05" wp14:editId="1D9BCD3B">
                <wp:simplePos x="0" y="0"/>
                <wp:positionH relativeFrom="margin">
                  <wp:posOffset>-2941320</wp:posOffset>
                </wp:positionH>
                <wp:positionV relativeFrom="paragraph">
                  <wp:posOffset>2167255</wp:posOffset>
                </wp:positionV>
                <wp:extent cx="1013460" cy="487680"/>
                <wp:effectExtent l="0" t="0" r="34290" b="647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487680"/>
                        </a:xfrm>
                        <a:prstGeom prst="rect">
                          <a:avLst/>
                        </a:prstGeom>
                        <a:solidFill>
                          <a:schemeClr val="accent1">
                            <a:lumMod val="20000"/>
                            <a:lumOff val="80000"/>
                          </a:schemeClr>
                        </a:solidFill>
                        <a:ln w="19050">
                          <a:solidFill>
                            <a:srgbClr val="FF3300"/>
                          </a:solidFill>
                          <a:miter lim="800000"/>
                          <a:headEnd/>
                          <a:tailEnd/>
                        </a:ln>
                        <a:effectLst>
                          <a:outerShdw dist="28398" dir="3806097" algn="ctr" rotWithShape="0">
                            <a:schemeClr val="bg1">
                              <a:alpha val="50000"/>
                            </a:schemeClr>
                          </a:outerShdw>
                        </a:effectLst>
                      </wps:spPr>
                      <wps:txbx>
                        <w:txbxContent>
                          <w:p w14:paraId="78B50A54" w14:textId="77777777" w:rsidR="0012210E" w:rsidRDefault="00C402A6">
                            <w:pPr>
                              <w:jc w:val="center"/>
                              <w:rPr>
                                <w:rFonts w:ascii="Rockwell Condensed" w:hAnsi="Rockwell Condensed"/>
                                <w:b/>
                                <w:color w:val="003399"/>
                                <w:sz w:val="24"/>
                                <w:szCs w:val="24"/>
                                <w:u w:val="single"/>
                              </w:rPr>
                            </w:pPr>
                            <w:r>
                              <w:rPr>
                                <w:rFonts w:ascii="Rockwell Condensed" w:hAnsi="Rockwell Condensed"/>
                                <w:color w:val="003399"/>
                                <w:sz w:val="24"/>
                                <w:szCs w:val="24"/>
                                <w:u w:val="single"/>
                              </w:rPr>
                              <w:t>Access arrangements policy template</w:t>
                            </w:r>
                          </w:p>
                          <w:p w14:paraId="545A31D3" w14:textId="77777777" w:rsidR="0012210E" w:rsidRDefault="00C402A6">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2336487E" w14:textId="77777777" w:rsidR="0012210E" w:rsidRDefault="00C402A6">
                            <w:pPr>
                              <w:spacing w:after="0"/>
                              <w:jc w:val="both"/>
                              <w:rPr>
                                <w:rFonts w:cs="Arial"/>
                                <w:b/>
                                <w:sz w:val="18"/>
                                <w:szCs w:val="18"/>
                              </w:rPr>
                            </w:pPr>
                            <w:r>
                              <w:rPr>
                                <w:rFonts w:cs="Arial"/>
                                <w:b/>
                                <w:sz w:val="18"/>
                                <w:szCs w:val="18"/>
                              </w:rPr>
                              <w:t xml:space="preserve">Changes made to the contents of this template since the previous (2018/19) version are </w:t>
                            </w:r>
                            <w:r>
                              <w:rPr>
                                <w:rFonts w:cs="Arial"/>
                                <w:b/>
                                <w:sz w:val="18"/>
                                <w:szCs w:val="18"/>
                                <w:highlight w:val="yellow"/>
                              </w:rPr>
                              <w:t>highlighted</w:t>
                            </w:r>
                            <w:r>
                              <w:rPr>
                                <w:rFonts w:cs="Arial"/>
                                <w:b/>
                                <w:sz w:val="18"/>
                                <w:szCs w:val="18"/>
                              </w:rPr>
                              <w:t xml:space="preserve"> for easy identification. </w:t>
                            </w:r>
                            <w:r>
                              <w:rPr>
                                <w:rFonts w:cs="Calibri"/>
                              </w:rPr>
                              <w:t xml:space="preserve"> </w:t>
                            </w:r>
                          </w:p>
                          <w:p w14:paraId="7487BF45" w14:textId="77777777" w:rsidR="0012210E" w:rsidRDefault="00C402A6">
                            <w:pPr>
                              <w:autoSpaceDE w:val="0"/>
                              <w:autoSpaceDN w:val="0"/>
                              <w:adjustRightInd w:val="0"/>
                              <w:spacing w:after="0"/>
                              <w:jc w:val="both"/>
                              <w:rPr>
                                <w:rFonts w:cs="Tahoma"/>
                                <w:color w:val="000000"/>
                                <w:sz w:val="18"/>
                                <w:szCs w:val="18"/>
                              </w:rPr>
                            </w:pPr>
                            <w:r>
                              <w:rPr>
                                <w:sz w:val="18"/>
                                <w:szCs w:val="18"/>
                              </w:rPr>
                              <w:t xml:space="preserve">There is no current </w:t>
                            </w:r>
                            <w:r>
                              <w:rPr>
                                <w:rFonts w:ascii="Rockwell Condensed" w:hAnsi="Rockwell Condensed"/>
                                <w:sz w:val="18"/>
                                <w:szCs w:val="18"/>
                              </w:rPr>
                              <w:t>JCQ</w:t>
                            </w:r>
                            <w:r>
                              <w:rPr>
                                <w:sz w:val="18"/>
                                <w:szCs w:val="18"/>
                              </w:rPr>
                              <w:t xml:space="preserve"> regulation for centres to specifically have an </w:t>
                            </w:r>
                            <w:r>
                              <w:rPr>
                                <w:b/>
                                <w:bCs/>
                                <w:sz w:val="18"/>
                                <w:szCs w:val="18"/>
                              </w:rPr>
                              <w:t>Access arrangement policy</w:t>
                            </w:r>
                            <w:r>
                              <w:rPr>
                                <w:sz w:val="18"/>
                                <w:szCs w:val="18"/>
                              </w:rPr>
                              <w:t xml:space="preserve"> in place. This template has been provided as an example </w:t>
                            </w:r>
                            <w:r>
                              <w:rPr>
                                <w:b/>
                                <w:sz w:val="18"/>
                                <w:szCs w:val="18"/>
                              </w:rPr>
                              <w:t>only</w:t>
                            </w:r>
                            <w:r>
                              <w:rPr>
                                <w:sz w:val="18"/>
                                <w:szCs w:val="18"/>
                              </w:rPr>
                              <w:t xml:space="preserve"> and is intended to provide you with a starting point/framework on which to build a policy to bring all aspects of the access arrangements process in your centre together in one place.</w:t>
                            </w:r>
                          </w:p>
                          <w:p w14:paraId="16C1AE6F" w14:textId="77777777" w:rsidR="0012210E" w:rsidRDefault="00C402A6">
                            <w:pPr>
                              <w:spacing w:after="0"/>
                              <w:jc w:val="both"/>
                              <w:rPr>
                                <w:rFonts w:cs="Arial"/>
                                <w:sz w:val="18"/>
                                <w:szCs w:val="18"/>
                              </w:rPr>
                            </w:pPr>
                            <w:r>
                              <w:rPr>
                                <w:rFonts w:cs="Arial"/>
                                <w:sz w:val="18"/>
                                <w:szCs w:val="18"/>
                              </w:rPr>
                              <w:t xml:space="preserve">A table to record centre staff (job role and name) has been inserted at the beginning of the template. You may choose to delete this or use it as good practice by inserting names against roles identified in the policy (some example roles have been provided). </w:t>
                            </w:r>
                          </w:p>
                          <w:p w14:paraId="1F4D8F40" w14:textId="77777777" w:rsidR="0012210E" w:rsidRDefault="00C402A6">
                            <w:pPr>
                              <w:pBdr>
                                <w:left w:val="single" w:sz="8" w:space="4" w:color="FFC000"/>
                              </w:pBdr>
                              <w:shd w:val="clear" w:color="auto" w:fill="F2F2F2" w:themeFill="background1" w:themeFillShade="F2"/>
                              <w:spacing w:after="0"/>
                              <w:ind w:left="284"/>
                              <w:jc w:val="both"/>
                              <w:rPr>
                                <w:rFonts w:cs="Arial"/>
                                <w:color w:val="595959" w:themeColor="text1" w:themeTint="A6"/>
                                <w:sz w:val="18"/>
                                <w:szCs w:val="18"/>
                              </w:rPr>
                            </w:pPr>
                            <w:r>
                              <w:rPr>
                                <w:rFonts w:cs="Arial"/>
                                <w:color w:val="595959" w:themeColor="text1" w:themeTint="A6"/>
                                <w:sz w:val="18"/>
                                <w:szCs w:val="18"/>
                              </w:rPr>
                              <w:t xml:space="preserve">Quotes from </w:t>
                            </w:r>
                            <w:r>
                              <w:rPr>
                                <w:rFonts w:ascii="Rockwell Condensed" w:hAnsi="Rockwell Condensed" w:cs="Arial"/>
                                <w:color w:val="595959" w:themeColor="text1" w:themeTint="A6"/>
                                <w:sz w:val="18"/>
                                <w:szCs w:val="18"/>
                              </w:rPr>
                              <w:t>JCQ</w:t>
                            </w:r>
                            <w:r>
                              <w:rPr>
                                <w:rFonts w:cs="Arial"/>
                                <w:color w:val="595959" w:themeColor="text1" w:themeTint="A6"/>
                                <w:sz w:val="18"/>
                                <w:szCs w:val="18"/>
                              </w:rPr>
                              <w:t xml:space="preserve"> publications are provided to support the understanding of a particular point. The general intention is that these quotes will be mainly removed before the policy is published, unless the centre has a particular desire to leave them in.</w:t>
                            </w:r>
                          </w:p>
                          <w:p w14:paraId="7D7D4331" w14:textId="77777777" w:rsidR="0012210E" w:rsidRDefault="00C402A6">
                            <w:pPr>
                              <w:spacing w:after="0"/>
                              <w:jc w:val="both"/>
                              <w:rPr>
                                <w:sz w:val="18"/>
                                <w:szCs w:val="18"/>
                              </w:rPr>
                            </w:pPr>
                            <w:r>
                              <w:rPr>
                                <w:sz w:val="18"/>
                                <w:szCs w:val="18"/>
                              </w:rPr>
                              <w:t xml:space="preserve">Roles, responsibilities and processes included in this template are suggestions </w:t>
                            </w:r>
                            <w:r>
                              <w:rPr>
                                <w:b/>
                                <w:sz w:val="18"/>
                                <w:szCs w:val="18"/>
                              </w:rPr>
                              <w:t>only</w:t>
                            </w:r>
                            <w:r>
                              <w:rPr>
                                <w:sz w:val="18"/>
                                <w:szCs w:val="18"/>
                              </w:rPr>
                              <w:t>; they should be edited accordingly to reflect ways of working in your centre</w:t>
                            </w:r>
                            <w:r>
                              <w:rPr>
                                <w:rFonts w:cs="Arial"/>
                                <w:sz w:val="18"/>
                                <w:szCs w:val="18"/>
                              </w:rPr>
                              <w:t xml:space="preserve"> by</w:t>
                            </w:r>
                          </w:p>
                          <w:p w14:paraId="4987B0CD" w14:textId="77777777" w:rsidR="0012210E" w:rsidRDefault="00C402A6">
                            <w:pPr>
                              <w:pStyle w:val="ListParagraph"/>
                              <w:numPr>
                                <w:ilvl w:val="0"/>
                                <w:numId w:val="3"/>
                              </w:numPr>
                              <w:spacing w:before="0" w:after="80"/>
                              <w:jc w:val="both"/>
                              <w:rPr>
                                <w:rFonts w:cs="Arial"/>
                                <w:sz w:val="18"/>
                                <w:szCs w:val="18"/>
                              </w:rPr>
                            </w:pPr>
                            <w:r>
                              <w:rPr>
                                <w:rFonts w:cs="Arial"/>
                                <w:sz w:val="18"/>
                                <w:szCs w:val="18"/>
                              </w:rPr>
                              <w:t>deleting information that is not relevant to your centre</w:t>
                            </w:r>
                          </w:p>
                          <w:p w14:paraId="75968801" w14:textId="77777777" w:rsidR="0012210E" w:rsidRDefault="00C402A6">
                            <w:pPr>
                              <w:pStyle w:val="ListParagraph"/>
                              <w:numPr>
                                <w:ilvl w:val="0"/>
                                <w:numId w:val="3"/>
                              </w:numPr>
                              <w:spacing w:before="0" w:after="80"/>
                              <w:jc w:val="both"/>
                              <w:rPr>
                                <w:rFonts w:cs="Arial"/>
                                <w:sz w:val="18"/>
                                <w:szCs w:val="18"/>
                              </w:rPr>
                            </w:pPr>
                            <w:r>
                              <w:rPr>
                                <w:rFonts w:cs="Arial"/>
                                <w:sz w:val="18"/>
                                <w:szCs w:val="18"/>
                              </w:rPr>
                              <w:t>amending information where a process runs differently in your centre</w:t>
                            </w:r>
                          </w:p>
                          <w:p w14:paraId="2AEC7EE8" w14:textId="77777777" w:rsidR="0012210E" w:rsidRDefault="00C402A6">
                            <w:pPr>
                              <w:pStyle w:val="ListParagraph"/>
                              <w:numPr>
                                <w:ilvl w:val="0"/>
                                <w:numId w:val="3"/>
                              </w:numPr>
                              <w:spacing w:before="0" w:after="80"/>
                              <w:jc w:val="both"/>
                              <w:rPr>
                                <w:rFonts w:cs="Arial"/>
                                <w:sz w:val="18"/>
                                <w:szCs w:val="18"/>
                              </w:rPr>
                            </w:pPr>
                            <w:r>
                              <w:rPr>
                                <w:rFonts w:cs="Arial"/>
                                <w:sz w:val="18"/>
                                <w:szCs w:val="18"/>
                              </w:rPr>
                              <w:t>adding information that you consider should be included in your policy.</w:t>
                            </w:r>
                          </w:p>
                          <w:p w14:paraId="4DCD5D87" w14:textId="77777777" w:rsidR="0012210E" w:rsidRDefault="00C402A6">
                            <w:pPr>
                              <w:jc w:val="both"/>
                              <w:rPr>
                                <w:rFonts w:cs="Arial"/>
                                <w:sz w:val="18"/>
                                <w:szCs w:val="18"/>
                              </w:rPr>
                            </w:pPr>
                            <w:r>
                              <w:rPr>
                                <w:rFonts w:cs="Arial"/>
                                <w:sz w:val="18"/>
                                <w:szCs w:val="18"/>
                              </w:rPr>
                              <w:t>The processes identified in this example policy are not exhaustive.</w:t>
                            </w:r>
                          </w:p>
                          <w:p w14:paraId="5A89D650" w14:textId="77777777" w:rsidR="0012210E" w:rsidRDefault="0012210E">
                            <w:pPr>
                              <w:spacing w:after="0"/>
                              <w:jc w:val="both"/>
                              <w:rPr>
                                <w:rFonts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559E05" id="_x0000_t202" coordsize="21600,21600" o:spt="202" path="m,l,21600r21600,l21600,xe">
                <v:stroke joinstyle="miter"/>
                <v:path gradientshapeok="t" o:connecttype="rect"/>
              </v:shapetype>
              <v:shape id="Text Box 8" o:spid="_x0000_s1026" type="#_x0000_t202" style="position:absolute;margin-left:-231.6pt;margin-top:170.65pt;width:79.8pt;height:38.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" fillcolor="#dbe5f1 [660]" strokecolor="#f30" strokeweight="1.5pt">
                <v:shadow on="t" color="white [3212]" opacity=".5" offset="1pt"/>
                <v:textbox>
                  <w:txbxContent>
                    <w:p w14:paraId="78B50A54" w14:textId="77777777" w:rsidR="0012210E" w:rsidRDefault="00C402A6">
                      <w:pPr>
                        <w:jc w:val="center"/>
                        <w:rPr>
                          <w:rFonts w:ascii="Rockwell Condensed" w:hAnsi="Rockwell Condensed"/>
                          <w:b/>
                          <w:color w:val="003399"/>
                          <w:sz w:val="24"/>
                          <w:szCs w:val="24"/>
                          <w:u w:val="single"/>
                        </w:rPr>
                      </w:pPr>
                      <w:r>
                        <w:rPr>
                          <w:rFonts w:ascii="Rockwell Condensed" w:hAnsi="Rockwell Condensed"/>
                          <w:color w:val="003399"/>
                          <w:sz w:val="24"/>
                          <w:szCs w:val="24"/>
                          <w:u w:val="single"/>
                        </w:rPr>
                        <w:t>Access arrangements policy template</w:t>
                      </w:r>
                    </w:p>
                    <w:p w14:paraId="545A31D3" w14:textId="77777777" w:rsidR="0012210E" w:rsidRDefault="00C402A6">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2336487E" w14:textId="77777777" w:rsidR="0012210E" w:rsidRDefault="00C402A6">
                      <w:pPr>
                        <w:spacing w:after="0"/>
                        <w:jc w:val="both"/>
                        <w:rPr>
                          <w:rFonts w:cs="Arial"/>
                          <w:b/>
                          <w:sz w:val="18"/>
                          <w:szCs w:val="18"/>
                        </w:rPr>
                      </w:pPr>
                      <w:r>
                        <w:rPr>
                          <w:rFonts w:cs="Arial"/>
                          <w:b/>
                          <w:sz w:val="18"/>
                          <w:szCs w:val="18"/>
                        </w:rPr>
                        <w:t xml:space="preserve">Changes made to the contents of this template since the previous (2018/19) version are </w:t>
                      </w:r>
                      <w:r>
                        <w:rPr>
                          <w:rFonts w:cs="Arial"/>
                          <w:b/>
                          <w:sz w:val="18"/>
                          <w:szCs w:val="18"/>
                          <w:highlight w:val="yellow"/>
                        </w:rPr>
                        <w:t>highlighted</w:t>
                      </w:r>
                      <w:r>
                        <w:rPr>
                          <w:rFonts w:cs="Arial"/>
                          <w:b/>
                          <w:sz w:val="18"/>
                          <w:szCs w:val="18"/>
                        </w:rPr>
                        <w:t xml:space="preserve"> for easy identification. </w:t>
                      </w:r>
                      <w:r>
                        <w:rPr>
                          <w:rFonts w:cs="Calibri"/>
                        </w:rPr>
                        <w:t xml:space="preserve"> </w:t>
                      </w:r>
                    </w:p>
                    <w:p w14:paraId="7487BF45" w14:textId="77777777" w:rsidR="0012210E" w:rsidRDefault="00C402A6">
                      <w:pPr>
                        <w:autoSpaceDE w:val="0"/>
                        <w:autoSpaceDN w:val="0"/>
                        <w:adjustRightInd w:val="0"/>
                        <w:spacing w:after="0"/>
                        <w:jc w:val="both"/>
                        <w:rPr>
                          <w:rFonts w:cs="Tahoma"/>
                          <w:color w:val="000000"/>
                          <w:sz w:val="18"/>
                          <w:szCs w:val="18"/>
                        </w:rPr>
                      </w:pPr>
                      <w:r>
                        <w:rPr>
                          <w:sz w:val="18"/>
                          <w:szCs w:val="18"/>
                        </w:rPr>
                        <w:t xml:space="preserve">There is no current </w:t>
                      </w:r>
                      <w:r>
                        <w:rPr>
                          <w:rFonts w:ascii="Rockwell Condensed" w:hAnsi="Rockwell Condensed"/>
                          <w:sz w:val="18"/>
                          <w:szCs w:val="18"/>
                        </w:rPr>
                        <w:t>JCQ</w:t>
                      </w:r>
                      <w:r>
                        <w:rPr>
                          <w:sz w:val="18"/>
                          <w:szCs w:val="18"/>
                        </w:rPr>
                        <w:t xml:space="preserve"> regulation for centres to specifically have an </w:t>
                      </w:r>
                      <w:r>
                        <w:rPr>
                          <w:b/>
                          <w:bCs/>
                          <w:sz w:val="18"/>
                          <w:szCs w:val="18"/>
                        </w:rPr>
                        <w:t>Access arrangement policy</w:t>
                      </w:r>
                      <w:r>
                        <w:rPr>
                          <w:sz w:val="18"/>
                          <w:szCs w:val="18"/>
                        </w:rPr>
                        <w:t xml:space="preserve"> in place. This template has been provided as an example </w:t>
                      </w:r>
                      <w:r>
                        <w:rPr>
                          <w:b/>
                          <w:sz w:val="18"/>
                          <w:szCs w:val="18"/>
                        </w:rPr>
                        <w:t>only</w:t>
                      </w:r>
                      <w:r>
                        <w:rPr>
                          <w:sz w:val="18"/>
                          <w:szCs w:val="18"/>
                        </w:rPr>
                        <w:t xml:space="preserve"> and is intended to provide you with a starting point/framework on which to build a policy to bring all aspects of the access arrangements process in your centre together in one place.</w:t>
                      </w:r>
                    </w:p>
                    <w:p w14:paraId="16C1AE6F" w14:textId="77777777" w:rsidR="0012210E" w:rsidRDefault="00C402A6">
                      <w:pPr>
                        <w:spacing w:after="0"/>
                        <w:jc w:val="both"/>
                        <w:rPr>
                          <w:rFonts w:cs="Arial"/>
                          <w:sz w:val="18"/>
                          <w:szCs w:val="18"/>
                        </w:rPr>
                      </w:pPr>
                      <w:r>
                        <w:rPr>
                          <w:rFonts w:cs="Arial"/>
                          <w:sz w:val="18"/>
                          <w:szCs w:val="18"/>
                        </w:rPr>
                        <w:t xml:space="preserve">A table to record centre staff (job role and name) has been inserted at the beginning of the template. You may choose to delete this or use it as good practice by inserting names against roles identified in the policy (some example roles have been provided). </w:t>
                      </w:r>
                    </w:p>
                    <w:p w14:paraId="1F4D8F40" w14:textId="77777777" w:rsidR="0012210E" w:rsidRDefault="00C402A6">
                      <w:pPr>
                        <w:pBdr>
                          <w:left w:val="single" w:sz="8" w:space="4" w:color="FFC000"/>
                        </w:pBdr>
                        <w:shd w:val="clear" w:color="auto" w:fill="F2F2F2" w:themeFill="background1" w:themeFillShade="F2"/>
                        <w:spacing w:after="0"/>
                        <w:ind w:left="284"/>
                        <w:jc w:val="both"/>
                        <w:rPr>
                          <w:rFonts w:cs="Arial"/>
                          <w:color w:val="595959" w:themeColor="text1" w:themeTint="A6"/>
                          <w:sz w:val="18"/>
                          <w:szCs w:val="18"/>
                        </w:rPr>
                      </w:pPr>
                      <w:r>
                        <w:rPr>
                          <w:rFonts w:cs="Arial"/>
                          <w:color w:val="595959" w:themeColor="text1" w:themeTint="A6"/>
                          <w:sz w:val="18"/>
                          <w:szCs w:val="18"/>
                        </w:rPr>
                        <w:t xml:space="preserve">Quotes from </w:t>
                      </w:r>
                      <w:r>
                        <w:rPr>
                          <w:rFonts w:ascii="Rockwell Condensed" w:hAnsi="Rockwell Condensed" w:cs="Arial"/>
                          <w:color w:val="595959" w:themeColor="text1" w:themeTint="A6"/>
                          <w:sz w:val="18"/>
                          <w:szCs w:val="18"/>
                        </w:rPr>
                        <w:t>JCQ</w:t>
                      </w:r>
                      <w:r>
                        <w:rPr>
                          <w:rFonts w:cs="Arial"/>
                          <w:color w:val="595959" w:themeColor="text1" w:themeTint="A6"/>
                          <w:sz w:val="18"/>
                          <w:szCs w:val="18"/>
                        </w:rPr>
                        <w:t xml:space="preserve"> publications are provided to support the understanding of a particular point. The general intention is that these quotes will be mainly removed before the policy is published, unless the centre has a particular desire to leave them in.</w:t>
                      </w:r>
                    </w:p>
                    <w:p w14:paraId="7D7D4331" w14:textId="77777777" w:rsidR="0012210E" w:rsidRDefault="00C402A6">
                      <w:pPr>
                        <w:spacing w:after="0"/>
                        <w:jc w:val="both"/>
                        <w:rPr>
                          <w:sz w:val="18"/>
                          <w:szCs w:val="18"/>
                        </w:rPr>
                      </w:pPr>
                      <w:r>
                        <w:rPr>
                          <w:sz w:val="18"/>
                          <w:szCs w:val="18"/>
                        </w:rPr>
                        <w:t xml:space="preserve">Roles, responsibilities and processes included in this template are suggestions </w:t>
                      </w:r>
                      <w:r>
                        <w:rPr>
                          <w:b/>
                          <w:sz w:val="18"/>
                          <w:szCs w:val="18"/>
                        </w:rPr>
                        <w:t>only</w:t>
                      </w:r>
                      <w:r>
                        <w:rPr>
                          <w:sz w:val="18"/>
                          <w:szCs w:val="18"/>
                        </w:rPr>
                        <w:t>; they should be edited accordingly to reflect ways of working in your centre</w:t>
                      </w:r>
                      <w:r>
                        <w:rPr>
                          <w:rFonts w:cs="Arial"/>
                          <w:sz w:val="18"/>
                          <w:szCs w:val="18"/>
                        </w:rPr>
                        <w:t xml:space="preserve"> by</w:t>
                      </w:r>
                    </w:p>
                    <w:p w14:paraId="4987B0CD" w14:textId="77777777" w:rsidR="0012210E" w:rsidRDefault="00C402A6">
                      <w:pPr>
                        <w:pStyle w:val="ListParagraph"/>
                        <w:numPr>
                          <w:ilvl w:val="0"/>
                          <w:numId w:val="3"/>
                        </w:numPr>
                        <w:spacing w:before="0" w:after="80"/>
                        <w:jc w:val="both"/>
                        <w:rPr>
                          <w:rFonts w:cs="Arial"/>
                          <w:sz w:val="18"/>
                          <w:szCs w:val="18"/>
                        </w:rPr>
                      </w:pPr>
                      <w:r>
                        <w:rPr>
                          <w:rFonts w:cs="Arial"/>
                          <w:sz w:val="18"/>
                          <w:szCs w:val="18"/>
                        </w:rPr>
                        <w:t>deleting information that is not relevant to your centre</w:t>
                      </w:r>
                    </w:p>
                    <w:p w14:paraId="75968801" w14:textId="77777777" w:rsidR="0012210E" w:rsidRDefault="00C402A6">
                      <w:pPr>
                        <w:pStyle w:val="ListParagraph"/>
                        <w:numPr>
                          <w:ilvl w:val="0"/>
                          <w:numId w:val="3"/>
                        </w:numPr>
                        <w:spacing w:before="0" w:after="80"/>
                        <w:jc w:val="both"/>
                        <w:rPr>
                          <w:rFonts w:cs="Arial"/>
                          <w:sz w:val="18"/>
                          <w:szCs w:val="18"/>
                        </w:rPr>
                      </w:pPr>
                      <w:r>
                        <w:rPr>
                          <w:rFonts w:cs="Arial"/>
                          <w:sz w:val="18"/>
                          <w:szCs w:val="18"/>
                        </w:rPr>
                        <w:t>amending information where a process runs differently in your centre</w:t>
                      </w:r>
                    </w:p>
                    <w:p w14:paraId="2AEC7EE8" w14:textId="77777777" w:rsidR="0012210E" w:rsidRDefault="00C402A6">
                      <w:pPr>
                        <w:pStyle w:val="ListParagraph"/>
                        <w:numPr>
                          <w:ilvl w:val="0"/>
                          <w:numId w:val="3"/>
                        </w:numPr>
                        <w:spacing w:before="0" w:after="80"/>
                        <w:jc w:val="both"/>
                        <w:rPr>
                          <w:rFonts w:cs="Arial"/>
                          <w:sz w:val="18"/>
                          <w:szCs w:val="18"/>
                        </w:rPr>
                      </w:pPr>
                      <w:r>
                        <w:rPr>
                          <w:rFonts w:cs="Arial"/>
                          <w:sz w:val="18"/>
                          <w:szCs w:val="18"/>
                        </w:rPr>
                        <w:t>adding information that you consider should be included in your policy.</w:t>
                      </w:r>
                    </w:p>
                    <w:p w14:paraId="4DCD5D87" w14:textId="77777777" w:rsidR="0012210E" w:rsidRDefault="00C402A6">
                      <w:pPr>
                        <w:jc w:val="both"/>
                        <w:rPr>
                          <w:rFonts w:cs="Arial"/>
                          <w:sz w:val="18"/>
                          <w:szCs w:val="18"/>
                        </w:rPr>
                      </w:pPr>
                      <w:r>
                        <w:rPr>
                          <w:rFonts w:cs="Arial"/>
                          <w:sz w:val="18"/>
                          <w:szCs w:val="18"/>
                        </w:rPr>
                        <w:t>The processes identified in this example policy are not exhaustive.</w:t>
                      </w:r>
                    </w:p>
                    <w:p w14:paraId="5A89D650" w14:textId="77777777" w:rsidR="0012210E" w:rsidRDefault="0012210E">
                      <w:pPr>
                        <w:spacing w:after="0"/>
                        <w:jc w:val="both"/>
                        <w:rPr>
                          <w:rFonts w:cs="Arial"/>
                          <w:b/>
                          <w:sz w:val="18"/>
                          <w:szCs w:val="18"/>
                        </w:rPr>
                      </w:pPr>
                    </w:p>
                  </w:txbxContent>
                </v:textbox>
                <w10:wrap anchorx="margin"/>
              </v:shape>
            </w:pict>
          </mc:Fallback>
        </mc:AlternateContent>
      </w:r>
      <w:r>
        <w:rPr>
          <w:rFonts w:cs="Arial"/>
          <w:b/>
          <w:noProof/>
          <w:color w:val="003399"/>
          <w:sz w:val="28"/>
          <w:szCs w:val="28"/>
        </w:rPr>
        <w:br w:type="page"/>
      </w:r>
    </w:p>
    <w:bookmarkEnd w:id="3" w:displacedByCustomXml="next"/>
    <w:bookmarkStart w:id="4" w:name="_Toc22304694" w:displacedByCustomXml="next"/>
    <w:bookmarkStart w:id="5" w:name="_Toc22487023" w:displacedByCustomXml="next"/>
    <w:bookmarkStart w:id="6" w:name="_Toc22487142" w:displacedByCustomXml="next"/>
    <w:sdt>
      <w:sdtPr>
        <w:rPr>
          <w:rFonts w:ascii="Rockwell" w:eastAsiaTheme="minorEastAsia" w:hAnsi="Rockwell" w:cstheme="minorBidi"/>
          <w:b w:val="0"/>
          <w:bCs w:val="0"/>
          <w:color w:val="auto"/>
          <w:sz w:val="22"/>
          <w:szCs w:val="22"/>
          <w:lang w:val="en-GB" w:eastAsia="en-GB"/>
        </w:rPr>
        <w:id w:val="-1093779735"/>
        <w:docPartObj>
          <w:docPartGallery w:val="Table of Contents"/>
          <w:docPartUnique/>
        </w:docPartObj>
      </w:sdtPr>
      <w:sdtEndPr>
        <w:rPr>
          <w:noProof/>
        </w:rPr>
      </w:sdtEndPr>
      <w:sdtContent>
        <w:p w14:paraId="48440EB6" w14:textId="77777777" w:rsidR="0012210E" w:rsidRDefault="00C402A6">
          <w:pPr>
            <w:pStyle w:val="TOCHeading"/>
            <w:rPr>
              <w:rFonts w:ascii="Rockwell" w:hAnsi="Rockwell"/>
            </w:rPr>
          </w:pPr>
          <w:r>
            <w:rPr>
              <w:rFonts w:ascii="Rockwell" w:hAnsi="Rockwell"/>
            </w:rPr>
            <w:t>Contents</w:t>
          </w:r>
        </w:p>
        <w:p w14:paraId="75F5464A" w14:textId="77777777" w:rsidR="0012210E" w:rsidRPr="0083050E" w:rsidRDefault="00C402A6">
          <w:pPr>
            <w:pStyle w:val="TOC1"/>
            <w:tabs>
              <w:tab w:val="right" w:leader="dot" w:pos="10042"/>
            </w:tabs>
            <w:rPr>
              <w:rFonts w:asciiTheme="minorHAnsi" w:hAnsiTheme="minorHAnsi"/>
              <w:noProof/>
            </w:rPr>
          </w:pPr>
          <w:r>
            <w:fldChar w:fldCharType="begin"/>
          </w:r>
          <w:r>
            <w:instrText xml:space="preserve"> TOC \o "1-3" \h \z \u </w:instrText>
          </w:r>
          <w:r>
            <w:fldChar w:fldCharType="separate"/>
          </w:r>
          <w:hyperlink w:anchor="_Toc22487617" w:history="1">
            <w:r w:rsidRPr="0083050E">
              <w:rPr>
                <w:rStyle w:val="Hyperlink"/>
                <w:noProof/>
              </w:rPr>
              <w:t>Key staff involved in the policy</w:t>
            </w:r>
            <w:r w:rsidRPr="0083050E">
              <w:rPr>
                <w:noProof/>
                <w:webHidden/>
              </w:rPr>
              <w:tab/>
            </w:r>
            <w:r w:rsidRPr="0083050E">
              <w:rPr>
                <w:noProof/>
                <w:webHidden/>
              </w:rPr>
              <w:fldChar w:fldCharType="begin"/>
            </w:r>
            <w:r w:rsidRPr="0083050E">
              <w:rPr>
                <w:noProof/>
                <w:webHidden/>
              </w:rPr>
              <w:instrText xml:space="preserve"> PAGEREF _Toc22487617 \h </w:instrText>
            </w:r>
            <w:r w:rsidRPr="0083050E">
              <w:rPr>
                <w:noProof/>
                <w:webHidden/>
              </w:rPr>
            </w:r>
            <w:r w:rsidRPr="0083050E">
              <w:rPr>
                <w:noProof/>
                <w:webHidden/>
              </w:rPr>
              <w:fldChar w:fldCharType="separate"/>
            </w:r>
            <w:r w:rsidRPr="0083050E">
              <w:rPr>
                <w:noProof/>
                <w:webHidden/>
              </w:rPr>
              <w:t>2</w:t>
            </w:r>
            <w:r w:rsidRPr="0083050E">
              <w:rPr>
                <w:noProof/>
                <w:webHidden/>
              </w:rPr>
              <w:fldChar w:fldCharType="end"/>
            </w:r>
          </w:hyperlink>
        </w:p>
        <w:p w14:paraId="5D966D7B" w14:textId="77777777" w:rsidR="0012210E" w:rsidRPr="0083050E" w:rsidRDefault="002F6894">
          <w:pPr>
            <w:pStyle w:val="TOC1"/>
            <w:tabs>
              <w:tab w:val="right" w:leader="dot" w:pos="10042"/>
            </w:tabs>
            <w:rPr>
              <w:rFonts w:asciiTheme="minorHAnsi" w:hAnsiTheme="minorHAnsi"/>
              <w:noProof/>
            </w:rPr>
          </w:pPr>
          <w:hyperlink w:anchor="_Toc22487618" w:history="1">
            <w:r w:rsidR="00C402A6" w:rsidRPr="0083050E">
              <w:rPr>
                <w:rStyle w:val="Hyperlink"/>
                <w:noProof/>
              </w:rPr>
              <w:t>What are access arrangements and reasonable adjustments?</w:t>
            </w:r>
            <w:r w:rsidR="00C402A6" w:rsidRPr="0083050E">
              <w:rPr>
                <w:noProof/>
                <w:webHidden/>
              </w:rPr>
              <w:tab/>
            </w:r>
            <w:r w:rsidR="00C402A6" w:rsidRPr="0083050E">
              <w:rPr>
                <w:noProof/>
                <w:webHidden/>
              </w:rPr>
              <w:fldChar w:fldCharType="begin"/>
            </w:r>
            <w:r w:rsidR="00C402A6" w:rsidRPr="0083050E">
              <w:rPr>
                <w:noProof/>
                <w:webHidden/>
              </w:rPr>
              <w:instrText xml:space="preserve"> PAGEREF _Toc22487618 \h </w:instrText>
            </w:r>
            <w:r w:rsidR="00C402A6" w:rsidRPr="0083050E">
              <w:rPr>
                <w:noProof/>
                <w:webHidden/>
              </w:rPr>
            </w:r>
            <w:r w:rsidR="00C402A6" w:rsidRPr="0083050E">
              <w:rPr>
                <w:noProof/>
                <w:webHidden/>
              </w:rPr>
              <w:fldChar w:fldCharType="separate"/>
            </w:r>
            <w:r w:rsidR="00C402A6" w:rsidRPr="0083050E">
              <w:rPr>
                <w:noProof/>
                <w:webHidden/>
              </w:rPr>
              <w:t>4</w:t>
            </w:r>
            <w:r w:rsidR="00C402A6" w:rsidRPr="0083050E">
              <w:rPr>
                <w:noProof/>
                <w:webHidden/>
              </w:rPr>
              <w:fldChar w:fldCharType="end"/>
            </w:r>
          </w:hyperlink>
        </w:p>
        <w:p w14:paraId="6EF2F766" w14:textId="77777777" w:rsidR="0012210E" w:rsidRPr="0083050E" w:rsidRDefault="002F6894">
          <w:pPr>
            <w:pStyle w:val="TOC2"/>
            <w:tabs>
              <w:tab w:val="right" w:leader="dot" w:pos="10042"/>
            </w:tabs>
            <w:rPr>
              <w:rFonts w:asciiTheme="minorHAnsi" w:hAnsiTheme="minorHAnsi"/>
              <w:noProof/>
            </w:rPr>
          </w:pPr>
          <w:hyperlink w:anchor="_Toc22487619" w:history="1">
            <w:r w:rsidR="00C402A6" w:rsidRPr="0083050E">
              <w:rPr>
                <w:rStyle w:val="Hyperlink"/>
                <w:noProof/>
              </w:rPr>
              <w:t>Access arrangements</w:t>
            </w:r>
            <w:r w:rsidR="00C402A6" w:rsidRPr="0083050E">
              <w:rPr>
                <w:noProof/>
                <w:webHidden/>
              </w:rPr>
              <w:tab/>
            </w:r>
            <w:r w:rsidR="00C402A6" w:rsidRPr="0083050E">
              <w:rPr>
                <w:noProof/>
                <w:webHidden/>
              </w:rPr>
              <w:fldChar w:fldCharType="begin"/>
            </w:r>
            <w:r w:rsidR="00C402A6" w:rsidRPr="0083050E">
              <w:rPr>
                <w:noProof/>
                <w:webHidden/>
              </w:rPr>
              <w:instrText xml:space="preserve"> PAGEREF _Toc22487619 \h </w:instrText>
            </w:r>
            <w:r w:rsidR="00C402A6" w:rsidRPr="0083050E">
              <w:rPr>
                <w:noProof/>
                <w:webHidden/>
              </w:rPr>
            </w:r>
            <w:r w:rsidR="00C402A6" w:rsidRPr="0083050E">
              <w:rPr>
                <w:noProof/>
                <w:webHidden/>
              </w:rPr>
              <w:fldChar w:fldCharType="separate"/>
            </w:r>
            <w:r w:rsidR="00C402A6" w:rsidRPr="0083050E">
              <w:rPr>
                <w:noProof/>
                <w:webHidden/>
              </w:rPr>
              <w:t>4</w:t>
            </w:r>
            <w:r w:rsidR="00C402A6" w:rsidRPr="0083050E">
              <w:rPr>
                <w:noProof/>
                <w:webHidden/>
              </w:rPr>
              <w:fldChar w:fldCharType="end"/>
            </w:r>
          </w:hyperlink>
        </w:p>
        <w:p w14:paraId="7A09FD96" w14:textId="77777777" w:rsidR="0012210E" w:rsidRPr="0083050E" w:rsidRDefault="002F6894">
          <w:pPr>
            <w:pStyle w:val="TOC2"/>
            <w:tabs>
              <w:tab w:val="right" w:leader="dot" w:pos="10042"/>
            </w:tabs>
            <w:rPr>
              <w:rFonts w:asciiTheme="minorHAnsi" w:hAnsiTheme="minorHAnsi"/>
              <w:noProof/>
            </w:rPr>
          </w:pPr>
          <w:hyperlink w:anchor="_Toc22487620" w:history="1">
            <w:r w:rsidR="00C402A6" w:rsidRPr="0083050E">
              <w:rPr>
                <w:rStyle w:val="Hyperlink"/>
                <w:noProof/>
              </w:rPr>
              <w:t>Reasonable adjustments</w:t>
            </w:r>
            <w:r w:rsidR="00C402A6" w:rsidRPr="0083050E">
              <w:rPr>
                <w:noProof/>
                <w:webHidden/>
              </w:rPr>
              <w:tab/>
            </w:r>
            <w:r w:rsidR="00C402A6" w:rsidRPr="0083050E">
              <w:rPr>
                <w:noProof/>
                <w:webHidden/>
              </w:rPr>
              <w:fldChar w:fldCharType="begin"/>
            </w:r>
            <w:r w:rsidR="00C402A6" w:rsidRPr="0083050E">
              <w:rPr>
                <w:noProof/>
                <w:webHidden/>
              </w:rPr>
              <w:instrText xml:space="preserve"> PAGEREF _Toc22487620 \h </w:instrText>
            </w:r>
            <w:r w:rsidR="00C402A6" w:rsidRPr="0083050E">
              <w:rPr>
                <w:noProof/>
                <w:webHidden/>
              </w:rPr>
            </w:r>
            <w:r w:rsidR="00C402A6" w:rsidRPr="0083050E">
              <w:rPr>
                <w:noProof/>
                <w:webHidden/>
              </w:rPr>
              <w:fldChar w:fldCharType="separate"/>
            </w:r>
            <w:r w:rsidR="00C402A6" w:rsidRPr="0083050E">
              <w:rPr>
                <w:noProof/>
                <w:webHidden/>
              </w:rPr>
              <w:t>4</w:t>
            </w:r>
            <w:r w:rsidR="00C402A6" w:rsidRPr="0083050E">
              <w:rPr>
                <w:noProof/>
                <w:webHidden/>
              </w:rPr>
              <w:fldChar w:fldCharType="end"/>
            </w:r>
          </w:hyperlink>
        </w:p>
        <w:p w14:paraId="6C52554E" w14:textId="5B090C75" w:rsidR="0012210E" w:rsidRPr="0083050E" w:rsidRDefault="00C402A6">
          <w:pPr>
            <w:pStyle w:val="TOC1"/>
            <w:tabs>
              <w:tab w:val="right" w:leader="dot" w:pos="10042"/>
            </w:tabs>
          </w:pPr>
          <w:r w:rsidRPr="0083050E">
            <w:t>General principles……………………………</w:t>
          </w:r>
          <w:r w:rsidR="000B5A43">
            <w:t>………...</w:t>
          </w:r>
          <w:r w:rsidRPr="0083050E">
            <w:t>…………………………………………….………………….…4</w:t>
          </w:r>
        </w:p>
        <w:p w14:paraId="2D9F8E3E" w14:textId="5B82F442" w:rsidR="0012210E" w:rsidRPr="0083050E" w:rsidRDefault="002F6894">
          <w:pPr>
            <w:pStyle w:val="TOC1"/>
            <w:tabs>
              <w:tab w:val="right" w:leader="dot" w:pos="10042"/>
            </w:tabs>
            <w:rPr>
              <w:rFonts w:asciiTheme="minorHAnsi" w:hAnsiTheme="minorHAnsi"/>
              <w:noProof/>
            </w:rPr>
          </w:pPr>
          <w:hyperlink w:anchor="_Toc22487622" w:history="1">
            <w:r w:rsidR="00C402A6" w:rsidRPr="0083050E">
              <w:rPr>
                <w:rStyle w:val="Hyperlink"/>
                <w:noProof/>
              </w:rPr>
              <w:t>Equalities Policy (Exams)………………</w:t>
            </w:r>
            <w:r w:rsidR="000B5A43">
              <w:rPr>
                <w:rStyle w:val="Hyperlink"/>
                <w:noProof/>
              </w:rPr>
              <w:t>………………….</w:t>
            </w:r>
            <w:r w:rsidR="00C402A6" w:rsidRPr="0083050E">
              <w:rPr>
                <w:rStyle w:val="Hyperlink"/>
                <w:noProof/>
              </w:rPr>
              <w:t>…………………………………..…………</w:t>
            </w:r>
          </w:hyperlink>
          <w:r w:rsidR="00C402A6" w:rsidRPr="0083050E">
            <w:rPr>
              <w:noProof/>
            </w:rPr>
            <w:t>………………………….5</w:t>
          </w:r>
        </w:p>
        <w:p w14:paraId="5D20B292" w14:textId="77777777" w:rsidR="0012210E" w:rsidRPr="0083050E" w:rsidRDefault="002F6894">
          <w:pPr>
            <w:pStyle w:val="TOC1"/>
            <w:tabs>
              <w:tab w:val="right" w:leader="dot" w:pos="10042"/>
            </w:tabs>
            <w:rPr>
              <w:rFonts w:asciiTheme="minorHAnsi" w:hAnsiTheme="minorHAnsi"/>
              <w:noProof/>
            </w:rPr>
          </w:pPr>
          <w:hyperlink w:anchor="_Toc22487623" w:history="1">
            <w:r w:rsidR="00C402A6" w:rsidRPr="0083050E">
              <w:rPr>
                <w:rStyle w:val="Hyperlink"/>
                <w:noProof/>
              </w:rPr>
              <w:t>The assessment process</w:t>
            </w:r>
            <w:r w:rsidR="00C402A6" w:rsidRPr="0083050E">
              <w:rPr>
                <w:noProof/>
                <w:webHidden/>
              </w:rPr>
              <w:tab/>
            </w:r>
            <w:r w:rsidR="00C402A6" w:rsidRPr="0083050E">
              <w:rPr>
                <w:noProof/>
                <w:webHidden/>
              </w:rPr>
              <w:fldChar w:fldCharType="begin"/>
            </w:r>
            <w:r w:rsidR="00C402A6" w:rsidRPr="0083050E">
              <w:rPr>
                <w:noProof/>
                <w:webHidden/>
              </w:rPr>
              <w:instrText xml:space="preserve"> PAGEREF _Toc22487623 \h </w:instrText>
            </w:r>
            <w:r w:rsidR="00C402A6" w:rsidRPr="0083050E">
              <w:rPr>
                <w:noProof/>
                <w:webHidden/>
              </w:rPr>
            </w:r>
            <w:r w:rsidR="00C402A6" w:rsidRPr="0083050E">
              <w:rPr>
                <w:noProof/>
                <w:webHidden/>
              </w:rPr>
              <w:fldChar w:fldCharType="separate"/>
            </w:r>
            <w:r w:rsidR="00C402A6" w:rsidRPr="0083050E">
              <w:rPr>
                <w:noProof/>
                <w:webHidden/>
              </w:rPr>
              <w:t>5</w:t>
            </w:r>
            <w:r w:rsidR="00C402A6" w:rsidRPr="0083050E">
              <w:rPr>
                <w:noProof/>
                <w:webHidden/>
              </w:rPr>
              <w:fldChar w:fldCharType="end"/>
            </w:r>
          </w:hyperlink>
        </w:p>
        <w:p w14:paraId="4A6F60E8" w14:textId="77777777" w:rsidR="0012210E" w:rsidRPr="0083050E" w:rsidRDefault="002F6894">
          <w:pPr>
            <w:pStyle w:val="TOC2"/>
            <w:tabs>
              <w:tab w:val="right" w:leader="dot" w:pos="10042"/>
            </w:tabs>
            <w:rPr>
              <w:rFonts w:asciiTheme="minorHAnsi" w:hAnsiTheme="minorHAnsi"/>
              <w:noProof/>
            </w:rPr>
          </w:pPr>
          <w:hyperlink w:anchor="_Toc22487624" w:history="1">
            <w:r w:rsidR="00C402A6" w:rsidRPr="0083050E">
              <w:rPr>
                <w:rStyle w:val="Hyperlink"/>
                <w:noProof/>
              </w:rPr>
              <w:t>The qualification(s) of the current assessor(s)</w:t>
            </w:r>
            <w:r w:rsidR="00C402A6" w:rsidRPr="0083050E">
              <w:rPr>
                <w:noProof/>
                <w:webHidden/>
              </w:rPr>
              <w:tab/>
            </w:r>
            <w:r w:rsidR="00C402A6" w:rsidRPr="0083050E">
              <w:rPr>
                <w:noProof/>
                <w:webHidden/>
              </w:rPr>
              <w:fldChar w:fldCharType="begin"/>
            </w:r>
            <w:r w:rsidR="00C402A6" w:rsidRPr="0083050E">
              <w:rPr>
                <w:noProof/>
                <w:webHidden/>
              </w:rPr>
              <w:instrText xml:space="preserve"> PAGEREF _Toc22487624 \h </w:instrText>
            </w:r>
            <w:r w:rsidR="00C402A6" w:rsidRPr="0083050E">
              <w:rPr>
                <w:noProof/>
                <w:webHidden/>
              </w:rPr>
            </w:r>
            <w:r w:rsidR="00C402A6" w:rsidRPr="0083050E">
              <w:rPr>
                <w:noProof/>
                <w:webHidden/>
              </w:rPr>
              <w:fldChar w:fldCharType="separate"/>
            </w:r>
            <w:r w:rsidR="00C402A6" w:rsidRPr="0083050E">
              <w:rPr>
                <w:noProof/>
                <w:webHidden/>
              </w:rPr>
              <w:t>5</w:t>
            </w:r>
            <w:r w:rsidR="00C402A6" w:rsidRPr="0083050E">
              <w:rPr>
                <w:noProof/>
                <w:webHidden/>
              </w:rPr>
              <w:fldChar w:fldCharType="end"/>
            </w:r>
          </w:hyperlink>
        </w:p>
        <w:p w14:paraId="2DE58444" w14:textId="6637B79E" w:rsidR="0012210E" w:rsidRPr="0083050E" w:rsidRDefault="002F6894">
          <w:pPr>
            <w:pStyle w:val="TOC2"/>
            <w:tabs>
              <w:tab w:val="right" w:leader="dot" w:pos="10042"/>
            </w:tabs>
            <w:rPr>
              <w:rFonts w:asciiTheme="minorHAnsi" w:hAnsiTheme="minorHAnsi"/>
              <w:noProof/>
            </w:rPr>
          </w:pPr>
          <w:hyperlink w:anchor="_Toc22487625" w:history="1">
            <w:r w:rsidR="00C402A6" w:rsidRPr="0083050E">
              <w:rPr>
                <w:rStyle w:val="Hyperlink"/>
                <w:noProof/>
              </w:rPr>
              <w:t xml:space="preserve">Appointment of assessors </w:t>
            </w:r>
            <w:r w:rsidR="00C402A6" w:rsidRPr="0083050E">
              <w:rPr>
                <w:noProof/>
                <w:webHidden/>
              </w:rPr>
              <w:tab/>
            </w:r>
            <w:r w:rsidR="00C402A6" w:rsidRPr="0083050E">
              <w:rPr>
                <w:noProof/>
                <w:webHidden/>
              </w:rPr>
              <w:fldChar w:fldCharType="begin"/>
            </w:r>
            <w:r w:rsidR="00C402A6" w:rsidRPr="0083050E">
              <w:rPr>
                <w:noProof/>
                <w:webHidden/>
              </w:rPr>
              <w:instrText xml:space="preserve"> PAGEREF _Toc22487625 \h </w:instrText>
            </w:r>
            <w:r w:rsidR="00C402A6" w:rsidRPr="0083050E">
              <w:rPr>
                <w:noProof/>
                <w:webHidden/>
              </w:rPr>
            </w:r>
            <w:r w:rsidR="00C402A6" w:rsidRPr="0083050E">
              <w:rPr>
                <w:noProof/>
                <w:webHidden/>
              </w:rPr>
              <w:fldChar w:fldCharType="separate"/>
            </w:r>
            <w:r w:rsidR="00C402A6" w:rsidRPr="0083050E">
              <w:rPr>
                <w:noProof/>
                <w:webHidden/>
              </w:rPr>
              <w:t>5</w:t>
            </w:r>
            <w:r w:rsidR="00C402A6" w:rsidRPr="0083050E">
              <w:rPr>
                <w:noProof/>
                <w:webHidden/>
              </w:rPr>
              <w:fldChar w:fldCharType="end"/>
            </w:r>
          </w:hyperlink>
        </w:p>
        <w:p w14:paraId="590FF254" w14:textId="77777777" w:rsidR="0012210E" w:rsidRPr="0083050E" w:rsidRDefault="002F6894">
          <w:pPr>
            <w:pStyle w:val="TOC2"/>
            <w:tabs>
              <w:tab w:val="right" w:leader="dot" w:pos="10042"/>
            </w:tabs>
            <w:rPr>
              <w:rFonts w:asciiTheme="minorHAnsi" w:hAnsiTheme="minorHAnsi"/>
              <w:noProof/>
            </w:rPr>
          </w:pPr>
          <w:hyperlink w:anchor="_Toc22487626" w:history="1">
            <w:r w:rsidR="00C402A6" w:rsidRPr="0083050E">
              <w:rPr>
                <w:rStyle w:val="Hyperlink"/>
                <w:noProof/>
              </w:rPr>
              <w:t>Process for the assessment of a candidate’s learning difficulties by an assessor</w:t>
            </w:r>
            <w:r w:rsidR="00C402A6" w:rsidRPr="0083050E">
              <w:rPr>
                <w:noProof/>
                <w:webHidden/>
              </w:rPr>
              <w:tab/>
            </w:r>
            <w:r w:rsidR="00C402A6" w:rsidRPr="0083050E">
              <w:rPr>
                <w:noProof/>
                <w:webHidden/>
              </w:rPr>
              <w:fldChar w:fldCharType="begin"/>
            </w:r>
            <w:r w:rsidR="00C402A6" w:rsidRPr="0083050E">
              <w:rPr>
                <w:noProof/>
                <w:webHidden/>
              </w:rPr>
              <w:instrText xml:space="preserve"> PAGEREF _Toc22487626 \h </w:instrText>
            </w:r>
            <w:r w:rsidR="00C402A6" w:rsidRPr="0083050E">
              <w:rPr>
                <w:noProof/>
                <w:webHidden/>
              </w:rPr>
            </w:r>
            <w:r w:rsidR="00C402A6" w:rsidRPr="0083050E">
              <w:rPr>
                <w:noProof/>
                <w:webHidden/>
              </w:rPr>
              <w:fldChar w:fldCharType="separate"/>
            </w:r>
            <w:r w:rsidR="00C402A6" w:rsidRPr="0083050E">
              <w:rPr>
                <w:noProof/>
                <w:webHidden/>
              </w:rPr>
              <w:t>6</w:t>
            </w:r>
            <w:r w:rsidR="00C402A6" w:rsidRPr="0083050E">
              <w:rPr>
                <w:noProof/>
                <w:webHidden/>
              </w:rPr>
              <w:fldChar w:fldCharType="end"/>
            </w:r>
          </w:hyperlink>
        </w:p>
        <w:p w14:paraId="53D0613F" w14:textId="12BB7397" w:rsidR="0012210E" w:rsidRPr="0083050E" w:rsidRDefault="002F6894">
          <w:pPr>
            <w:pStyle w:val="TOC2"/>
            <w:tabs>
              <w:tab w:val="right" w:leader="dot" w:pos="10042"/>
            </w:tabs>
            <w:rPr>
              <w:rFonts w:asciiTheme="minorHAnsi" w:hAnsiTheme="minorHAnsi"/>
              <w:noProof/>
            </w:rPr>
          </w:pPr>
          <w:hyperlink w:anchor="_Toc22487627" w:history="1">
            <w:r w:rsidR="00C402A6" w:rsidRPr="0083050E">
              <w:rPr>
                <w:rStyle w:val="Hyperlink"/>
                <w:noProof/>
              </w:rPr>
              <w:t>P</w:t>
            </w:r>
            <w:r w:rsidR="000B5A43">
              <w:rPr>
                <w:rStyle w:val="Hyperlink"/>
                <w:noProof/>
              </w:rPr>
              <w:t xml:space="preserve">icture </w:t>
            </w:r>
            <w:r w:rsidR="00C402A6" w:rsidRPr="0083050E">
              <w:rPr>
                <w:rStyle w:val="Hyperlink"/>
                <w:noProof/>
              </w:rPr>
              <w:t>of need</w:t>
            </w:r>
            <w:r w:rsidR="000B5A43">
              <w:rPr>
                <w:rStyle w:val="Hyperlink"/>
                <w:noProof/>
              </w:rPr>
              <w:t>/</w:t>
            </w:r>
            <w:r w:rsidR="00C402A6" w:rsidRPr="0083050E">
              <w:rPr>
                <w:rStyle w:val="Hyperlink"/>
                <w:noProof/>
              </w:rPr>
              <w:t>normal way of working</w:t>
            </w:r>
            <w:r w:rsidR="00C402A6" w:rsidRPr="0083050E">
              <w:rPr>
                <w:noProof/>
                <w:webHidden/>
              </w:rPr>
              <w:tab/>
            </w:r>
            <w:r w:rsidR="00C402A6" w:rsidRPr="0083050E">
              <w:rPr>
                <w:noProof/>
                <w:webHidden/>
              </w:rPr>
              <w:fldChar w:fldCharType="begin"/>
            </w:r>
            <w:r w:rsidR="00C402A6" w:rsidRPr="0083050E">
              <w:rPr>
                <w:noProof/>
                <w:webHidden/>
              </w:rPr>
              <w:instrText xml:space="preserve"> PAGEREF _Toc22487627 \h </w:instrText>
            </w:r>
            <w:r w:rsidR="00C402A6" w:rsidRPr="0083050E">
              <w:rPr>
                <w:noProof/>
                <w:webHidden/>
              </w:rPr>
            </w:r>
            <w:r w:rsidR="00C402A6" w:rsidRPr="0083050E">
              <w:rPr>
                <w:noProof/>
                <w:webHidden/>
              </w:rPr>
              <w:fldChar w:fldCharType="separate"/>
            </w:r>
            <w:r w:rsidR="00C402A6" w:rsidRPr="0083050E">
              <w:rPr>
                <w:noProof/>
                <w:webHidden/>
              </w:rPr>
              <w:t>7</w:t>
            </w:r>
            <w:r w:rsidR="00C402A6" w:rsidRPr="0083050E">
              <w:rPr>
                <w:noProof/>
                <w:webHidden/>
              </w:rPr>
              <w:fldChar w:fldCharType="end"/>
            </w:r>
          </w:hyperlink>
        </w:p>
        <w:p w14:paraId="7C2F9AD4" w14:textId="77777777" w:rsidR="0012210E" w:rsidRPr="0083050E" w:rsidRDefault="002F6894">
          <w:pPr>
            <w:pStyle w:val="TOC1"/>
            <w:tabs>
              <w:tab w:val="right" w:leader="dot" w:pos="10042"/>
            </w:tabs>
            <w:rPr>
              <w:rFonts w:asciiTheme="minorHAnsi" w:hAnsiTheme="minorHAnsi"/>
              <w:noProof/>
            </w:rPr>
          </w:pPr>
          <w:hyperlink w:anchor="_Toc22487628" w:history="1">
            <w:r w:rsidR="00C402A6" w:rsidRPr="0083050E">
              <w:rPr>
                <w:rStyle w:val="Hyperlink"/>
                <w:noProof/>
              </w:rPr>
              <w:t>Processing access arrangements</w:t>
            </w:r>
            <w:r w:rsidR="004953A3" w:rsidRPr="0083050E">
              <w:rPr>
                <w:rStyle w:val="Hyperlink"/>
                <w:noProof/>
              </w:rPr>
              <w:t xml:space="preserve"> and adjustments</w:t>
            </w:r>
            <w:r w:rsidR="00C402A6" w:rsidRPr="0083050E">
              <w:rPr>
                <w:noProof/>
                <w:webHidden/>
              </w:rPr>
              <w:tab/>
            </w:r>
            <w:r w:rsidR="00C402A6" w:rsidRPr="0083050E">
              <w:rPr>
                <w:noProof/>
                <w:webHidden/>
              </w:rPr>
              <w:fldChar w:fldCharType="begin"/>
            </w:r>
            <w:r w:rsidR="00C402A6" w:rsidRPr="0083050E">
              <w:rPr>
                <w:noProof/>
                <w:webHidden/>
              </w:rPr>
              <w:instrText xml:space="preserve"> PAGEREF _Toc22487628 \h </w:instrText>
            </w:r>
            <w:r w:rsidR="00C402A6" w:rsidRPr="0083050E">
              <w:rPr>
                <w:noProof/>
                <w:webHidden/>
              </w:rPr>
            </w:r>
            <w:r w:rsidR="00C402A6" w:rsidRPr="0083050E">
              <w:rPr>
                <w:noProof/>
                <w:webHidden/>
              </w:rPr>
              <w:fldChar w:fldCharType="separate"/>
            </w:r>
            <w:r w:rsidR="00C402A6" w:rsidRPr="0083050E">
              <w:rPr>
                <w:noProof/>
                <w:webHidden/>
              </w:rPr>
              <w:t>7</w:t>
            </w:r>
            <w:r w:rsidR="00C402A6" w:rsidRPr="0083050E">
              <w:rPr>
                <w:noProof/>
                <w:webHidden/>
              </w:rPr>
              <w:fldChar w:fldCharType="end"/>
            </w:r>
          </w:hyperlink>
        </w:p>
        <w:p w14:paraId="4953BB44" w14:textId="77777777" w:rsidR="0012210E" w:rsidRDefault="002F6894">
          <w:pPr>
            <w:pStyle w:val="TOC2"/>
            <w:tabs>
              <w:tab w:val="right" w:leader="dot" w:pos="10042"/>
            </w:tabs>
            <w:rPr>
              <w:rFonts w:asciiTheme="minorHAnsi" w:hAnsiTheme="minorHAnsi"/>
              <w:noProof/>
            </w:rPr>
          </w:pPr>
          <w:hyperlink w:anchor="_Toc22487629" w:history="1">
            <w:r w:rsidR="00C402A6">
              <w:rPr>
                <w:rStyle w:val="Hyperlink"/>
                <w:noProof/>
              </w:rPr>
              <w:t>Arrangements</w:t>
            </w:r>
            <w:r w:rsidR="004953A3">
              <w:rPr>
                <w:rStyle w:val="Hyperlink"/>
                <w:noProof/>
              </w:rPr>
              <w:t>/adjustments</w:t>
            </w:r>
            <w:r w:rsidR="00C402A6">
              <w:rPr>
                <w:rStyle w:val="Hyperlink"/>
                <w:noProof/>
              </w:rPr>
              <w:t xml:space="preserve"> requiring awarding body approval</w:t>
            </w:r>
            <w:r w:rsidR="00C402A6">
              <w:rPr>
                <w:noProof/>
                <w:webHidden/>
              </w:rPr>
              <w:tab/>
            </w:r>
            <w:r w:rsidR="00C402A6">
              <w:rPr>
                <w:noProof/>
                <w:webHidden/>
              </w:rPr>
              <w:fldChar w:fldCharType="begin"/>
            </w:r>
            <w:r w:rsidR="00C402A6">
              <w:rPr>
                <w:noProof/>
                <w:webHidden/>
              </w:rPr>
              <w:instrText xml:space="preserve"> PAGEREF _Toc22487629 \h </w:instrText>
            </w:r>
            <w:r w:rsidR="00C402A6">
              <w:rPr>
                <w:noProof/>
                <w:webHidden/>
              </w:rPr>
            </w:r>
            <w:r w:rsidR="00C402A6">
              <w:rPr>
                <w:noProof/>
                <w:webHidden/>
              </w:rPr>
              <w:fldChar w:fldCharType="separate"/>
            </w:r>
            <w:r w:rsidR="00C402A6">
              <w:rPr>
                <w:noProof/>
                <w:webHidden/>
              </w:rPr>
              <w:t>7</w:t>
            </w:r>
            <w:r w:rsidR="00C402A6">
              <w:rPr>
                <w:noProof/>
                <w:webHidden/>
              </w:rPr>
              <w:fldChar w:fldCharType="end"/>
            </w:r>
          </w:hyperlink>
        </w:p>
        <w:p w14:paraId="2C43EA1C" w14:textId="77777777" w:rsidR="0012210E" w:rsidRDefault="002F6894">
          <w:pPr>
            <w:pStyle w:val="TOC2"/>
            <w:tabs>
              <w:tab w:val="right" w:leader="dot" w:pos="10042"/>
            </w:tabs>
            <w:rPr>
              <w:rFonts w:asciiTheme="minorHAnsi" w:hAnsiTheme="minorHAnsi"/>
              <w:noProof/>
            </w:rPr>
          </w:pPr>
          <w:hyperlink w:anchor="_Toc22487630" w:history="1">
            <w:r w:rsidR="00C402A6">
              <w:rPr>
                <w:rStyle w:val="Hyperlink"/>
                <w:noProof/>
              </w:rPr>
              <w:t>Centre-delegated arrangements</w:t>
            </w:r>
            <w:r w:rsidR="004953A3">
              <w:rPr>
                <w:rStyle w:val="Hyperlink"/>
                <w:noProof/>
              </w:rPr>
              <w:t>/adjustments</w:t>
            </w:r>
            <w:r w:rsidR="00C402A6">
              <w:rPr>
                <w:noProof/>
                <w:webHidden/>
              </w:rPr>
              <w:tab/>
              <w:t>8</w:t>
            </w:r>
          </w:hyperlink>
          <w:r w:rsidR="00C402A6">
            <w:rPr>
              <w:rFonts w:asciiTheme="minorHAnsi" w:hAnsiTheme="minorHAnsi"/>
              <w:noProof/>
            </w:rPr>
            <w:t xml:space="preserve"> </w:t>
          </w:r>
        </w:p>
        <w:p w14:paraId="4478F5CF" w14:textId="77777777" w:rsidR="0012210E" w:rsidRDefault="002F6894">
          <w:pPr>
            <w:pStyle w:val="TOC1"/>
            <w:tabs>
              <w:tab w:val="right" w:leader="dot" w:pos="10042"/>
            </w:tabs>
            <w:rPr>
              <w:rFonts w:asciiTheme="minorHAnsi" w:hAnsiTheme="minorHAnsi"/>
              <w:noProof/>
            </w:rPr>
          </w:pPr>
          <w:hyperlink w:anchor="_Toc22487631" w:history="1">
            <w:r w:rsidR="00C402A6">
              <w:rPr>
                <w:rStyle w:val="Hyperlink"/>
                <w:noProof/>
              </w:rPr>
              <w:t>Centre-specific criteria for particular access arrangements</w:t>
            </w:r>
            <w:r w:rsidR="00C402A6">
              <w:rPr>
                <w:noProof/>
                <w:webHidden/>
              </w:rPr>
              <w:tab/>
            </w:r>
            <w:r w:rsidR="00C402A6">
              <w:rPr>
                <w:noProof/>
                <w:webHidden/>
              </w:rPr>
              <w:fldChar w:fldCharType="begin"/>
            </w:r>
            <w:r w:rsidR="00C402A6">
              <w:rPr>
                <w:noProof/>
                <w:webHidden/>
              </w:rPr>
              <w:instrText xml:space="preserve"> PAGEREF _Toc22487631 \h </w:instrText>
            </w:r>
            <w:r w:rsidR="00C402A6">
              <w:rPr>
                <w:noProof/>
                <w:webHidden/>
              </w:rPr>
            </w:r>
            <w:r w:rsidR="00C402A6">
              <w:rPr>
                <w:noProof/>
                <w:webHidden/>
              </w:rPr>
              <w:fldChar w:fldCharType="separate"/>
            </w:r>
            <w:r w:rsidR="00C402A6">
              <w:rPr>
                <w:noProof/>
                <w:webHidden/>
              </w:rPr>
              <w:t>8</w:t>
            </w:r>
            <w:r w:rsidR="00C402A6">
              <w:rPr>
                <w:noProof/>
                <w:webHidden/>
              </w:rPr>
              <w:fldChar w:fldCharType="end"/>
            </w:r>
          </w:hyperlink>
        </w:p>
        <w:p w14:paraId="6F7AE488" w14:textId="77777777" w:rsidR="0012210E" w:rsidRDefault="002F6894">
          <w:pPr>
            <w:pStyle w:val="TOC2"/>
            <w:tabs>
              <w:tab w:val="right" w:leader="dot" w:pos="10042"/>
            </w:tabs>
            <w:rPr>
              <w:rFonts w:asciiTheme="minorHAnsi" w:hAnsiTheme="minorHAnsi"/>
              <w:noProof/>
            </w:rPr>
          </w:pPr>
          <w:hyperlink w:anchor="_Toc22487632" w:history="1">
            <w:r w:rsidR="00C402A6">
              <w:rPr>
                <w:rStyle w:val="Hyperlink"/>
                <w:noProof/>
              </w:rPr>
              <w:t>Word processor policy (exams)</w:t>
            </w:r>
            <w:r w:rsidR="00C402A6">
              <w:rPr>
                <w:noProof/>
                <w:webHidden/>
              </w:rPr>
              <w:tab/>
            </w:r>
            <w:r w:rsidR="00C402A6">
              <w:rPr>
                <w:noProof/>
                <w:webHidden/>
              </w:rPr>
              <w:fldChar w:fldCharType="begin"/>
            </w:r>
            <w:r w:rsidR="00C402A6">
              <w:rPr>
                <w:noProof/>
                <w:webHidden/>
              </w:rPr>
              <w:instrText xml:space="preserve"> PAGEREF _Toc22487632 \h </w:instrText>
            </w:r>
            <w:r w:rsidR="00C402A6">
              <w:rPr>
                <w:noProof/>
                <w:webHidden/>
              </w:rPr>
            </w:r>
            <w:r w:rsidR="00C402A6">
              <w:rPr>
                <w:noProof/>
                <w:webHidden/>
              </w:rPr>
              <w:fldChar w:fldCharType="separate"/>
            </w:r>
            <w:r w:rsidR="00C402A6">
              <w:rPr>
                <w:noProof/>
                <w:webHidden/>
              </w:rPr>
              <w:t>8</w:t>
            </w:r>
            <w:r w:rsidR="00C402A6">
              <w:rPr>
                <w:noProof/>
                <w:webHidden/>
              </w:rPr>
              <w:fldChar w:fldCharType="end"/>
            </w:r>
          </w:hyperlink>
          <w:hyperlink w:anchor="_Toc22487633" w:history="1"/>
        </w:p>
        <w:p w14:paraId="589E298B" w14:textId="77777777" w:rsidR="0012210E" w:rsidRDefault="002F6894">
          <w:pPr>
            <w:pStyle w:val="TOC1"/>
            <w:tabs>
              <w:tab w:val="right" w:leader="dot" w:pos="10042"/>
            </w:tabs>
            <w:rPr>
              <w:rFonts w:asciiTheme="minorHAnsi" w:hAnsiTheme="minorHAnsi"/>
              <w:noProof/>
            </w:rPr>
          </w:pPr>
          <w:hyperlink w:anchor="_Toc22487634" w:history="1"/>
        </w:p>
        <w:p w14:paraId="46ACA851" w14:textId="77777777" w:rsidR="0012210E" w:rsidRDefault="00C402A6">
          <w:r>
            <w:rPr>
              <w:b/>
              <w:bCs/>
              <w:noProof/>
            </w:rPr>
            <w:fldChar w:fldCharType="end"/>
          </w:r>
        </w:p>
      </w:sdtContent>
    </w:sdt>
    <w:p w14:paraId="68C1F7B3" w14:textId="77777777" w:rsidR="0012210E" w:rsidRDefault="00C402A6">
      <w:pPr>
        <w:spacing w:before="0" w:after="200" w:line="276" w:lineRule="auto"/>
        <w:rPr>
          <w:szCs w:val="24"/>
        </w:rPr>
      </w:pPr>
      <w:r>
        <w:rPr>
          <w:rFonts w:cs="Arial"/>
          <w:noProof/>
        </w:rPr>
        <mc:AlternateContent>
          <mc:Choice Requires="wps">
            <w:drawing>
              <wp:anchor distT="0" distB="0" distL="114300" distR="114300" simplePos="0" relativeHeight="251674624" behindDoc="0" locked="0" layoutInCell="1" allowOverlap="1" wp14:anchorId="7D1D18BC" wp14:editId="604AEF5D">
                <wp:simplePos x="0" y="0"/>
                <wp:positionH relativeFrom="margin">
                  <wp:posOffset>-1463040</wp:posOffset>
                </wp:positionH>
                <wp:positionV relativeFrom="paragraph">
                  <wp:posOffset>360680</wp:posOffset>
                </wp:positionV>
                <wp:extent cx="419100" cy="45719"/>
                <wp:effectExtent l="0" t="0" r="38100" b="501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19100" cy="45719"/>
                        </a:xfrm>
                        <a:prstGeom prst="rect">
                          <a:avLst/>
                        </a:prstGeom>
                        <a:solidFill>
                          <a:schemeClr val="accent1">
                            <a:lumMod val="20000"/>
                            <a:lumOff val="80000"/>
                          </a:schemeClr>
                        </a:solidFill>
                        <a:ln w="19050">
                          <a:solidFill>
                            <a:srgbClr val="FF3300"/>
                          </a:solidFill>
                          <a:miter lim="800000"/>
                          <a:headEnd/>
                          <a:tailEnd/>
                        </a:ln>
                        <a:effectLst>
                          <a:outerShdw dist="28398" dir="3806097" algn="ctr" rotWithShape="0">
                            <a:schemeClr val="bg1">
                              <a:alpha val="50000"/>
                            </a:schemeClr>
                          </a:outerShdw>
                        </a:effectLst>
                      </wps:spPr>
                      <wps:txbx>
                        <w:txbxContent>
                          <w:p w14:paraId="28B9D65D" w14:textId="77777777" w:rsidR="0012210E" w:rsidRDefault="00C402A6">
                            <w:pPr>
                              <w:rPr>
                                <w:rFonts w:asciiTheme="minorHAnsi" w:hAnsiTheme="minorHAnsi" w:cs="Arial"/>
                                <w:b/>
                                <w:sz w:val="18"/>
                                <w:szCs w:val="18"/>
                              </w:rPr>
                            </w:pPr>
                            <w:r>
                              <w:rPr>
                                <w:rFonts w:ascii="Rockwell Condensed" w:hAnsi="Rockwell Condensed"/>
                                <w:color w:val="003399"/>
                                <w:sz w:val="24"/>
                                <w:szCs w:val="24"/>
                                <w:u w:val="single"/>
                              </w:rPr>
                              <w:t>Table of contents</w:t>
                            </w:r>
                          </w:p>
                          <w:p w14:paraId="7C617C88" w14:textId="77777777" w:rsidR="0012210E" w:rsidRDefault="00C402A6">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2F369F0" w14:textId="77777777" w:rsidR="0012210E" w:rsidRDefault="00C402A6">
                            <w:pPr>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0F33F1D5" w14:textId="77777777" w:rsidR="0012210E" w:rsidRDefault="00C402A6">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56D14375" w14:textId="77777777" w:rsidR="0012210E" w:rsidRDefault="00C402A6">
                            <w:pPr>
                              <w:jc w:val="center"/>
                              <w:rPr>
                                <w:rFonts w:cs="Arial"/>
                                <w:sz w:val="18"/>
                                <w:szCs w:val="18"/>
                              </w:rPr>
                            </w:pPr>
                            <w:r>
                              <w:rPr>
                                <w:noProof/>
                                <w:sz w:val="18"/>
                                <w:szCs w:val="18"/>
                              </w:rPr>
                              <w:t xml:space="preserve">  </w:t>
                            </w:r>
                            <w:r>
                              <w:rPr>
                                <w:noProof/>
                              </w:rPr>
                              <w:drawing>
                                <wp:inline distT="0" distB="0" distL="0" distR="0" wp14:anchorId="42873AB9" wp14:editId="58E4B66E">
                                  <wp:extent cx="1092200" cy="30953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59377107" wp14:editId="3EF7F5EE">
                                  <wp:extent cx="1270000" cy="441271"/>
                                  <wp:effectExtent l="0" t="0" r="0" b="0"/>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3515B97E" w14:textId="77777777" w:rsidR="0012210E" w:rsidRDefault="00C402A6">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1D18BC" id="Text Box 11" o:spid="_x0000_s1027" type="#_x0000_t202" style="position:absolute;margin-left:-115.2pt;margin-top:28.4pt;width:33pt;height:3.6pt;flip:x 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" fillcolor="#dbe5f1 [660]" strokecolor="#f30" strokeweight="1.5pt">
                <v:shadow on="t" color="white [3212]" opacity=".5" offset="1pt"/>
                <v:textbox>
                  <w:txbxContent>
                    <w:p w14:paraId="28B9D65D" w14:textId="77777777" w:rsidR="0012210E" w:rsidRDefault="00C402A6">
                      <w:pPr>
                        <w:rPr>
                          <w:rFonts w:asciiTheme="minorHAnsi" w:hAnsiTheme="minorHAnsi" w:cs="Arial"/>
                          <w:b/>
                          <w:sz w:val="18"/>
                          <w:szCs w:val="18"/>
                        </w:rPr>
                      </w:pPr>
                      <w:r>
                        <w:rPr>
                          <w:rFonts w:ascii="Rockwell Condensed" w:hAnsi="Rockwell Condensed"/>
                          <w:color w:val="003399"/>
                          <w:sz w:val="24"/>
                          <w:szCs w:val="24"/>
                          <w:u w:val="single"/>
                        </w:rPr>
                        <w:t>Table of contents</w:t>
                      </w:r>
                    </w:p>
                    <w:p w14:paraId="7C617C88" w14:textId="77777777" w:rsidR="0012210E" w:rsidRDefault="00C402A6">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2F369F0" w14:textId="77777777" w:rsidR="0012210E" w:rsidRDefault="00C402A6">
                      <w:pPr>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0F33F1D5" w14:textId="77777777" w:rsidR="0012210E" w:rsidRDefault="00C402A6">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56D14375" w14:textId="77777777" w:rsidR="0012210E" w:rsidRDefault="00C402A6">
                      <w:pPr>
                        <w:jc w:val="center"/>
                        <w:rPr>
                          <w:rFonts w:cs="Arial"/>
                          <w:sz w:val="18"/>
                          <w:szCs w:val="18"/>
                        </w:rPr>
                      </w:pPr>
                      <w:r>
                        <w:rPr>
                          <w:noProof/>
                          <w:sz w:val="18"/>
                          <w:szCs w:val="18"/>
                        </w:rPr>
                        <w:t xml:space="preserve">  </w:t>
                      </w:r>
                      <w:r>
                        <w:rPr>
                          <w:noProof/>
                        </w:rPr>
                        <w:drawing>
                          <wp:inline distT="0" distB="0" distL="0" distR="0" wp14:anchorId="42873AB9" wp14:editId="58E4B66E">
                            <wp:extent cx="1092200" cy="30953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59377107" wp14:editId="3EF7F5EE">
                            <wp:extent cx="1270000" cy="441271"/>
                            <wp:effectExtent l="0" t="0" r="0" b="0"/>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3515B97E" w14:textId="77777777" w:rsidR="0012210E" w:rsidRDefault="00C402A6">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p>
    <w:p w14:paraId="74488AC8" w14:textId="77777777" w:rsidR="0012210E" w:rsidRDefault="00C402A6">
      <w:pPr>
        <w:spacing w:before="0" w:after="200" w:line="276" w:lineRule="auto"/>
        <w:rPr>
          <w:rFonts w:eastAsia="Times New Roman" w:cs="Times New Roman"/>
          <w:b/>
          <w:color w:val="003399"/>
          <w:sz w:val="24"/>
          <w:szCs w:val="24"/>
        </w:rPr>
      </w:pPr>
      <w:r>
        <w:rPr>
          <w:szCs w:val="24"/>
        </w:rPr>
        <w:br w:type="page"/>
      </w:r>
    </w:p>
    <w:p w14:paraId="1E01050F" w14:textId="77777777" w:rsidR="0012210E" w:rsidRDefault="00C402A6">
      <w:pPr>
        <w:pStyle w:val="Headinglevel1"/>
        <w:spacing w:before="240" w:line="276" w:lineRule="auto"/>
      </w:pPr>
      <w:bookmarkStart w:id="7" w:name="_Toc523473880"/>
      <w:bookmarkStart w:id="8" w:name="_Toc22304696"/>
      <w:bookmarkStart w:id="9" w:name="_Toc22487024"/>
      <w:bookmarkStart w:id="10" w:name="_Toc22487143"/>
      <w:bookmarkStart w:id="11" w:name="_Toc22487618"/>
      <w:bookmarkEnd w:id="0"/>
      <w:bookmarkEnd w:id="6"/>
      <w:bookmarkEnd w:id="5"/>
      <w:bookmarkEnd w:id="4"/>
      <w:r>
        <w:lastRenderedPageBreak/>
        <w:t>What are access arrangements and reasonable adjustments?</w:t>
      </w:r>
      <w:bookmarkEnd w:id="7"/>
      <w:bookmarkEnd w:id="8"/>
      <w:bookmarkEnd w:id="9"/>
      <w:bookmarkEnd w:id="10"/>
      <w:bookmarkEnd w:id="11"/>
    </w:p>
    <w:p w14:paraId="282BC13B" w14:textId="77777777" w:rsidR="0012210E" w:rsidRDefault="00C402A6">
      <w:pPr>
        <w:pStyle w:val="Headinglevel2"/>
        <w:spacing w:before="240" w:after="120"/>
      </w:pPr>
      <w:bookmarkStart w:id="12" w:name="_Toc523473881"/>
      <w:bookmarkStart w:id="13" w:name="_Toc22304697"/>
      <w:bookmarkStart w:id="14" w:name="_Toc22487025"/>
      <w:bookmarkStart w:id="15" w:name="_Toc22487144"/>
      <w:bookmarkStart w:id="16" w:name="_Toc22487619"/>
      <w:r>
        <w:t>Access arrangements</w:t>
      </w:r>
      <w:bookmarkEnd w:id="12"/>
      <w:bookmarkEnd w:id="13"/>
      <w:bookmarkEnd w:id="14"/>
      <w:bookmarkEnd w:id="15"/>
      <w:bookmarkEnd w:id="16"/>
    </w:p>
    <w:p w14:paraId="31A0B16D" w14:textId="253F3E12" w:rsidR="0012210E" w:rsidRDefault="00C402A6">
      <w:pPr>
        <w:pStyle w:val="NormalWeb"/>
        <w:pBdr>
          <w:left w:val="single" w:sz="8" w:space="4" w:color="FFC000"/>
        </w:pBdr>
        <w:shd w:val="clear" w:color="auto" w:fill="F2F2F2" w:themeFill="background1" w:themeFillShade="F2"/>
        <w:spacing w:before="0" w:beforeAutospacing="0" w:after="0" w:afterAutospacing="0"/>
        <w:ind w:left="720"/>
        <w:jc w:val="both"/>
        <w:rPr>
          <w:rFonts w:ascii="Rockwell" w:hAnsi="Rockwell"/>
          <w:iCs/>
          <w:color w:val="595959" w:themeColor="text1" w:themeTint="A6"/>
          <w:sz w:val="18"/>
          <w:szCs w:val="18"/>
        </w:rPr>
      </w:pPr>
      <w:r>
        <w:rPr>
          <w:rFonts w:ascii="Rockwell" w:hAnsi="Rockwell"/>
          <w:iCs/>
          <w:color w:val="595959" w:themeColor="text1" w:themeTint="A6"/>
          <w:sz w:val="18"/>
          <w:szCs w:val="18"/>
        </w:rPr>
        <w:t xml:space="preserve">Access arrangements are agreed before an assessment. They allow candidates with specific needs, such as special educational needs, disabilities or temporary injuries to access the assessment and show what they know and can do without changing the demands of the assessment. The intention behind an access arrangement is to meet the particular needs of an individual candidate without affecting the integrity of the assessment. Access arrangements are the principal way in which awarding bodies comply with the duty under the Equality Act 2010* to make ‘reasonable adjustments’.                                                                                                                                 </w:t>
      </w:r>
      <w:r>
        <w:rPr>
          <w:rFonts w:ascii="Rockwell Condensed" w:hAnsi="Rockwell Condensed"/>
          <w:color w:val="595959" w:themeColor="text1" w:themeTint="A6"/>
          <w:sz w:val="18"/>
          <w:szCs w:val="18"/>
        </w:rPr>
        <w:t>[</w:t>
      </w:r>
      <w:hyperlink r:id="rId13" w:history="1">
        <w:r>
          <w:rPr>
            <w:rStyle w:val="Hyperlink"/>
            <w:rFonts w:ascii="Rockwell Condensed" w:hAnsi="Rockwell Condensed"/>
            <w:sz w:val="18"/>
            <w:szCs w:val="18"/>
          </w:rPr>
          <w:t>AA</w:t>
        </w:r>
      </w:hyperlink>
      <w:r w:rsidR="000B5A43">
        <w:rPr>
          <w:rFonts w:ascii="Rockwell Condensed" w:hAnsi="Rockwell Condensed"/>
          <w:sz w:val="18"/>
          <w:szCs w:val="18"/>
        </w:rPr>
        <w:t xml:space="preserve">RA </w:t>
      </w:r>
      <w:r>
        <w:rPr>
          <w:rFonts w:ascii="Rockwell Condensed" w:hAnsi="Rockwell Condensed"/>
          <w:color w:val="595959" w:themeColor="text1" w:themeTint="A6"/>
          <w:sz w:val="18"/>
          <w:szCs w:val="18"/>
        </w:rPr>
        <w:t>Definitions]</w:t>
      </w:r>
      <w:r>
        <w:rPr>
          <w:rFonts w:ascii="Rockwell" w:hAnsi="Rockwell"/>
          <w:iCs/>
          <w:color w:val="595959" w:themeColor="text1" w:themeTint="A6"/>
          <w:sz w:val="18"/>
          <w:szCs w:val="18"/>
        </w:rPr>
        <w:t xml:space="preserve">                         </w:t>
      </w:r>
    </w:p>
    <w:p w14:paraId="7CC376E3" w14:textId="77777777" w:rsidR="0012210E" w:rsidRDefault="00C402A6">
      <w:pPr>
        <w:pStyle w:val="Headinglevel2"/>
        <w:spacing w:before="240" w:after="120"/>
      </w:pPr>
      <w:bookmarkStart w:id="17" w:name="_Toc523473882"/>
      <w:bookmarkStart w:id="18" w:name="_Toc22304698"/>
      <w:bookmarkStart w:id="19" w:name="_Toc22487026"/>
      <w:bookmarkStart w:id="20" w:name="_Toc22487145"/>
      <w:bookmarkStart w:id="21" w:name="_Toc22487620"/>
      <w:r>
        <w:t>Reasonable adjustments</w:t>
      </w:r>
      <w:bookmarkEnd w:id="17"/>
      <w:bookmarkEnd w:id="18"/>
      <w:bookmarkEnd w:id="19"/>
      <w:bookmarkEnd w:id="20"/>
      <w:bookmarkEnd w:id="21"/>
    </w:p>
    <w:p w14:paraId="71B4EFED" w14:textId="77777777" w:rsidR="0012210E" w:rsidRDefault="00C402A6">
      <w:pPr>
        <w:pStyle w:val="NormalWeb"/>
        <w:pBdr>
          <w:left w:val="single" w:sz="8" w:space="4" w:color="FFC000"/>
        </w:pBdr>
        <w:shd w:val="clear" w:color="auto" w:fill="F2F2F2" w:themeFill="background1" w:themeFillShade="F2"/>
        <w:spacing w:before="0" w:beforeAutospacing="0" w:after="0" w:afterAutospacing="0"/>
        <w:ind w:left="720"/>
        <w:jc w:val="both"/>
        <w:rPr>
          <w:rFonts w:ascii="Rockwell" w:hAnsi="Rockwell"/>
          <w:iCs/>
          <w:color w:val="595959" w:themeColor="text1" w:themeTint="A6"/>
          <w:sz w:val="18"/>
          <w:szCs w:val="18"/>
        </w:rPr>
      </w:pPr>
      <w:r>
        <w:rPr>
          <w:rFonts w:ascii="Rockwell" w:hAnsi="Rockwell"/>
          <w:iCs/>
          <w:color w:val="595959" w:themeColor="text1" w:themeTint="A6"/>
          <w:sz w:val="18"/>
          <w:szCs w:val="18"/>
        </w:rPr>
        <w:t xml:space="preserve">The Equality Act 2010* requires an awarding body to make reasonable adjustments where a candidate, who is disabled within the meaning of the Equality Act 2010, would be at a substantial disadvantage 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 Whether an adjustment will be considered reasonable will depend on a number of factors which will include, but are not limited to: </w:t>
      </w:r>
    </w:p>
    <w:p w14:paraId="456554E7" w14:textId="77777777" w:rsidR="0012210E" w:rsidRDefault="00C402A6">
      <w:pPr>
        <w:pStyle w:val="NormalWeb"/>
        <w:pBdr>
          <w:left w:val="single" w:sz="8" w:space="4" w:color="FFC000"/>
        </w:pBdr>
        <w:shd w:val="clear" w:color="auto" w:fill="F2F2F2" w:themeFill="background1" w:themeFillShade="F2"/>
        <w:spacing w:before="0" w:beforeAutospacing="0" w:after="0" w:afterAutospacing="0"/>
        <w:ind w:left="720"/>
        <w:jc w:val="both"/>
        <w:rPr>
          <w:rFonts w:ascii="Rockwell" w:hAnsi="Rockwell"/>
          <w:iCs/>
          <w:color w:val="595959" w:themeColor="text1" w:themeTint="A6"/>
          <w:sz w:val="18"/>
          <w:szCs w:val="18"/>
        </w:rPr>
      </w:pPr>
      <w:r>
        <w:rPr>
          <w:rFonts w:ascii="Rockwell" w:hAnsi="Rockwell"/>
          <w:iCs/>
          <w:color w:val="595959" w:themeColor="text1" w:themeTint="A6"/>
          <w:sz w:val="18"/>
          <w:szCs w:val="18"/>
        </w:rPr>
        <w:t xml:space="preserve">  • the needs of the disabled candidate; </w:t>
      </w:r>
    </w:p>
    <w:p w14:paraId="5B76FADB" w14:textId="77777777" w:rsidR="0012210E" w:rsidRDefault="00C402A6">
      <w:pPr>
        <w:pStyle w:val="NormalWeb"/>
        <w:pBdr>
          <w:left w:val="single" w:sz="8" w:space="4" w:color="FFC000"/>
        </w:pBdr>
        <w:shd w:val="clear" w:color="auto" w:fill="F2F2F2" w:themeFill="background1" w:themeFillShade="F2"/>
        <w:spacing w:before="0" w:beforeAutospacing="0" w:after="0" w:afterAutospacing="0"/>
        <w:ind w:left="720"/>
        <w:jc w:val="both"/>
        <w:rPr>
          <w:rFonts w:ascii="Rockwell" w:hAnsi="Rockwell"/>
          <w:iCs/>
          <w:color w:val="595959" w:themeColor="text1" w:themeTint="A6"/>
          <w:sz w:val="18"/>
          <w:szCs w:val="18"/>
        </w:rPr>
      </w:pPr>
      <w:r>
        <w:rPr>
          <w:rFonts w:ascii="Rockwell" w:hAnsi="Rockwell"/>
          <w:iCs/>
          <w:color w:val="595959" w:themeColor="text1" w:themeTint="A6"/>
          <w:sz w:val="18"/>
          <w:szCs w:val="18"/>
        </w:rPr>
        <w:t xml:space="preserve">  • the effectiveness of the adjustment; </w:t>
      </w:r>
    </w:p>
    <w:p w14:paraId="7E8294B2" w14:textId="77777777" w:rsidR="0012210E" w:rsidRDefault="00C402A6">
      <w:pPr>
        <w:pStyle w:val="NormalWeb"/>
        <w:pBdr>
          <w:left w:val="single" w:sz="8" w:space="4" w:color="FFC000"/>
        </w:pBdr>
        <w:shd w:val="clear" w:color="auto" w:fill="F2F2F2" w:themeFill="background1" w:themeFillShade="F2"/>
        <w:spacing w:before="0" w:beforeAutospacing="0" w:after="0" w:afterAutospacing="0"/>
        <w:ind w:left="720"/>
        <w:jc w:val="both"/>
        <w:rPr>
          <w:rFonts w:ascii="Rockwell" w:hAnsi="Rockwell"/>
          <w:iCs/>
          <w:color w:val="595959" w:themeColor="text1" w:themeTint="A6"/>
          <w:sz w:val="18"/>
          <w:szCs w:val="18"/>
        </w:rPr>
      </w:pPr>
      <w:r>
        <w:rPr>
          <w:rFonts w:ascii="Rockwell" w:hAnsi="Rockwell"/>
          <w:iCs/>
          <w:color w:val="595959" w:themeColor="text1" w:themeTint="A6"/>
          <w:sz w:val="18"/>
          <w:szCs w:val="18"/>
        </w:rPr>
        <w:t xml:space="preserve">  • the cost of the adjustment; and </w:t>
      </w:r>
    </w:p>
    <w:p w14:paraId="728F7B81" w14:textId="77777777" w:rsidR="0012210E" w:rsidRDefault="00C402A6">
      <w:pPr>
        <w:pStyle w:val="NormalWeb"/>
        <w:pBdr>
          <w:left w:val="single" w:sz="8" w:space="4" w:color="FFC000"/>
        </w:pBdr>
        <w:shd w:val="clear" w:color="auto" w:fill="F2F2F2" w:themeFill="background1" w:themeFillShade="F2"/>
        <w:spacing w:before="0" w:beforeAutospacing="0" w:after="0" w:afterAutospacing="0"/>
        <w:ind w:left="720"/>
        <w:jc w:val="both"/>
        <w:rPr>
          <w:rFonts w:ascii="Rockwell" w:hAnsi="Rockwell"/>
          <w:iCs/>
          <w:color w:val="595959" w:themeColor="text1" w:themeTint="A6"/>
          <w:sz w:val="18"/>
          <w:szCs w:val="18"/>
        </w:rPr>
      </w:pPr>
      <w:r>
        <w:rPr>
          <w:rFonts w:ascii="Rockwell" w:hAnsi="Rockwell"/>
          <w:iCs/>
          <w:color w:val="595959" w:themeColor="text1" w:themeTint="A6"/>
          <w:sz w:val="18"/>
          <w:szCs w:val="18"/>
        </w:rPr>
        <w:t xml:space="preserve">  • the likely impact of the adjustment upon the candidate and other candidates. </w:t>
      </w:r>
    </w:p>
    <w:p w14:paraId="0581F409" w14:textId="77777777" w:rsidR="0012210E" w:rsidRDefault="00C402A6">
      <w:pPr>
        <w:pStyle w:val="NormalWeb"/>
        <w:pBdr>
          <w:left w:val="single" w:sz="8" w:space="4" w:color="FFC000"/>
        </w:pBdr>
        <w:shd w:val="clear" w:color="auto" w:fill="F2F2F2" w:themeFill="background1" w:themeFillShade="F2"/>
        <w:spacing w:before="60" w:beforeAutospacing="0" w:after="0" w:afterAutospacing="0"/>
        <w:ind w:left="720"/>
        <w:jc w:val="both"/>
        <w:rPr>
          <w:rFonts w:ascii="Rockwell" w:hAnsi="Rockwell"/>
          <w:iCs/>
          <w:color w:val="595959" w:themeColor="text1" w:themeTint="A6"/>
          <w:sz w:val="18"/>
          <w:szCs w:val="18"/>
        </w:rPr>
      </w:pPr>
      <w:r>
        <w:rPr>
          <w:rFonts w:ascii="Rockwell" w:hAnsi="Rockwell"/>
          <w:iCs/>
          <w:color w:val="595959" w:themeColor="text1" w:themeTint="A6"/>
          <w:sz w:val="18"/>
          <w:szCs w:val="18"/>
        </w:rPr>
        <w:t xml:space="preserve"> An adjustment will not be approved if it: </w:t>
      </w:r>
    </w:p>
    <w:p w14:paraId="657BAD99" w14:textId="77777777" w:rsidR="0012210E" w:rsidRDefault="00C402A6">
      <w:pPr>
        <w:pStyle w:val="NormalWeb"/>
        <w:pBdr>
          <w:left w:val="single" w:sz="8" w:space="4" w:color="FFC000"/>
        </w:pBdr>
        <w:shd w:val="clear" w:color="auto" w:fill="F2F2F2" w:themeFill="background1" w:themeFillShade="F2"/>
        <w:spacing w:before="0" w:beforeAutospacing="0" w:after="0" w:afterAutospacing="0"/>
        <w:ind w:left="720"/>
        <w:jc w:val="both"/>
        <w:rPr>
          <w:rFonts w:ascii="Rockwell" w:hAnsi="Rockwell"/>
          <w:iCs/>
          <w:color w:val="595959" w:themeColor="text1" w:themeTint="A6"/>
          <w:sz w:val="18"/>
          <w:szCs w:val="18"/>
        </w:rPr>
      </w:pPr>
      <w:r>
        <w:rPr>
          <w:rFonts w:ascii="Rockwell" w:hAnsi="Rockwell"/>
          <w:iCs/>
          <w:color w:val="595959" w:themeColor="text1" w:themeTint="A6"/>
          <w:sz w:val="18"/>
          <w:szCs w:val="18"/>
        </w:rPr>
        <w:t xml:space="preserve">  • involves unreasonable costs to the awarding body; </w:t>
      </w:r>
    </w:p>
    <w:p w14:paraId="54BFA67D" w14:textId="77777777" w:rsidR="0012210E" w:rsidRDefault="00C402A6">
      <w:pPr>
        <w:pStyle w:val="NormalWeb"/>
        <w:pBdr>
          <w:left w:val="single" w:sz="8" w:space="4" w:color="FFC000"/>
        </w:pBdr>
        <w:shd w:val="clear" w:color="auto" w:fill="F2F2F2" w:themeFill="background1" w:themeFillShade="F2"/>
        <w:spacing w:before="0" w:beforeAutospacing="0" w:after="0" w:afterAutospacing="0"/>
        <w:ind w:left="720"/>
        <w:jc w:val="both"/>
        <w:rPr>
          <w:rFonts w:ascii="Rockwell" w:hAnsi="Rockwell"/>
          <w:iCs/>
          <w:color w:val="595959" w:themeColor="text1" w:themeTint="A6"/>
          <w:sz w:val="18"/>
          <w:szCs w:val="18"/>
        </w:rPr>
      </w:pPr>
      <w:r>
        <w:rPr>
          <w:rFonts w:ascii="Rockwell" w:hAnsi="Rockwell"/>
          <w:iCs/>
          <w:color w:val="595959" w:themeColor="text1" w:themeTint="A6"/>
          <w:sz w:val="18"/>
          <w:szCs w:val="18"/>
        </w:rPr>
        <w:t xml:space="preserve">  • involves unreasonable timeframes; or </w:t>
      </w:r>
    </w:p>
    <w:p w14:paraId="5762F66E" w14:textId="77777777" w:rsidR="0012210E" w:rsidRDefault="00C402A6">
      <w:pPr>
        <w:pStyle w:val="NormalWeb"/>
        <w:pBdr>
          <w:left w:val="single" w:sz="8" w:space="4" w:color="FFC000"/>
        </w:pBdr>
        <w:shd w:val="clear" w:color="auto" w:fill="F2F2F2" w:themeFill="background1" w:themeFillShade="F2"/>
        <w:spacing w:before="0" w:beforeAutospacing="0" w:after="0" w:afterAutospacing="0"/>
        <w:ind w:left="720"/>
        <w:jc w:val="both"/>
        <w:rPr>
          <w:rFonts w:ascii="Rockwell" w:hAnsi="Rockwell"/>
          <w:iCs/>
          <w:color w:val="595959" w:themeColor="text1" w:themeTint="A6"/>
          <w:sz w:val="18"/>
          <w:szCs w:val="18"/>
        </w:rPr>
      </w:pPr>
      <w:r>
        <w:rPr>
          <w:rFonts w:ascii="Rockwell" w:hAnsi="Rockwell"/>
          <w:iCs/>
          <w:color w:val="595959" w:themeColor="text1" w:themeTint="A6"/>
          <w:sz w:val="18"/>
          <w:szCs w:val="18"/>
        </w:rPr>
        <w:t xml:space="preserve">  • affects the security and integrity of the assessment. </w:t>
      </w:r>
    </w:p>
    <w:p w14:paraId="6A8D633E" w14:textId="77777777" w:rsidR="000B5A43" w:rsidRDefault="00C402A6">
      <w:pPr>
        <w:pStyle w:val="NormalWeb"/>
        <w:pBdr>
          <w:left w:val="single" w:sz="8" w:space="4" w:color="FFC000"/>
        </w:pBdr>
        <w:shd w:val="clear" w:color="auto" w:fill="F2F2F2" w:themeFill="background1" w:themeFillShade="F2"/>
        <w:spacing w:before="60" w:beforeAutospacing="0" w:after="0" w:afterAutospacing="0"/>
        <w:ind w:left="720"/>
        <w:jc w:val="both"/>
        <w:rPr>
          <w:rFonts w:ascii="Rockwell" w:hAnsi="Rockwell"/>
          <w:iCs/>
          <w:color w:val="595959" w:themeColor="text1" w:themeTint="A6"/>
          <w:sz w:val="18"/>
          <w:szCs w:val="18"/>
        </w:rPr>
      </w:pPr>
      <w:r>
        <w:rPr>
          <w:rFonts w:ascii="Rockwell" w:hAnsi="Rockwell"/>
          <w:iCs/>
          <w:color w:val="595959" w:themeColor="text1" w:themeTint="A6"/>
          <w:sz w:val="18"/>
          <w:szCs w:val="18"/>
        </w:rPr>
        <w:t xml:space="preserve">This is because the adjustment is not ‘reasonable’.  </w:t>
      </w:r>
    </w:p>
    <w:p w14:paraId="0A94BED1" w14:textId="37DF3495" w:rsidR="0012210E" w:rsidRDefault="000B5A43">
      <w:pPr>
        <w:pStyle w:val="NormalWeb"/>
        <w:pBdr>
          <w:left w:val="single" w:sz="8" w:space="4" w:color="FFC000"/>
        </w:pBdr>
        <w:shd w:val="clear" w:color="auto" w:fill="F2F2F2" w:themeFill="background1" w:themeFillShade="F2"/>
        <w:spacing w:before="60" w:beforeAutospacing="0" w:after="0" w:afterAutospacing="0"/>
        <w:ind w:left="720"/>
        <w:jc w:val="both"/>
        <w:rPr>
          <w:rFonts w:ascii="Rockwell" w:hAnsi="Rockwell"/>
          <w:iCs/>
          <w:color w:val="595959" w:themeColor="text1" w:themeTint="A6"/>
          <w:sz w:val="18"/>
          <w:szCs w:val="18"/>
        </w:rPr>
      </w:pPr>
      <w:r>
        <w:rPr>
          <w:rFonts w:ascii="Rockwell" w:hAnsi="Rockwell"/>
          <w:iCs/>
          <w:color w:val="595959" w:themeColor="text1" w:themeTint="A6"/>
          <w:sz w:val="18"/>
          <w:szCs w:val="18"/>
        </w:rPr>
        <w:t>The centre must ensure that approved adjustments can be delivered to candidates.</w:t>
      </w:r>
      <w:r w:rsidR="00C402A6">
        <w:rPr>
          <w:rFonts w:ascii="Rockwell" w:hAnsi="Rockwell"/>
          <w:iCs/>
          <w:color w:val="595959" w:themeColor="text1" w:themeTint="A6"/>
          <w:sz w:val="18"/>
          <w:szCs w:val="18"/>
        </w:rPr>
        <w:t xml:space="preserve">  </w:t>
      </w:r>
      <w:r w:rsidR="00C402A6">
        <w:rPr>
          <w:rFonts w:ascii="Rockwell Condensed" w:hAnsi="Rockwell Condensed"/>
          <w:color w:val="595959" w:themeColor="text1" w:themeTint="A6"/>
          <w:sz w:val="18"/>
          <w:szCs w:val="18"/>
        </w:rPr>
        <w:t>[</w:t>
      </w:r>
      <w:hyperlink r:id="rId14" w:history="1">
        <w:r w:rsidR="00C402A6">
          <w:rPr>
            <w:rStyle w:val="Hyperlink"/>
            <w:rFonts w:ascii="Rockwell Condensed" w:hAnsi="Rockwell Condensed"/>
            <w:sz w:val="18"/>
            <w:szCs w:val="18"/>
          </w:rPr>
          <w:t>AA</w:t>
        </w:r>
      </w:hyperlink>
      <w:r>
        <w:rPr>
          <w:rStyle w:val="Hyperlink"/>
          <w:rFonts w:ascii="Rockwell Condensed" w:hAnsi="Rockwell Condensed"/>
          <w:sz w:val="18"/>
          <w:szCs w:val="18"/>
        </w:rPr>
        <w:t>RA</w:t>
      </w:r>
      <w:r w:rsidR="00C402A6">
        <w:rPr>
          <w:rFonts w:ascii="Rockwell Condensed" w:hAnsi="Rockwell Condensed"/>
          <w:sz w:val="18"/>
          <w:szCs w:val="18"/>
        </w:rPr>
        <w:t xml:space="preserve"> </w:t>
      </w:r>
      <w:r w:rsidR="00C402A6">
        <w:rPr>
          <w:rFonts w:ascii="Rockwell Condensed" w:hAnsi="Rockwell Condensed"/>
          <w:color w:val="595959" w:themeColor="text1" w:themeTint="A6"/>
          <w:sz w:val="18"/>
          <w:szCs w:val="18"/>
        </w:rPr>
        <w:t>Definitions]</w:t>
      </w:r>
      <w:r w:rsidR="00C402A6">
        <w:rPr>
          <w:rFonts w:ascii="Rockwell" w:hAnsi="Rockwell"/>
          <w:iCs/>
          <w:color w:val="595959" w:themeColor="text1" w:themeTint="A6"/>
          <w:sz w:val="18"/>
          <w:szCs w:val="18"/>
        </w:rPr>
        <w:t xml:space="preserve">                         </w:t>
      </w:r>
    </w:p>
    <w:p w14:paraId="07691E23" w14:textId="77777777" w:rsidR="0012210E" w:rsidRDefault="00C402A6">
      <w:pPr>
        <w:pStyle w:val="Headinglevel1"/>
        <w:spacing w:before="240" w:line="276" w:lineRule="auto"/>
      </w:pPr>
      <w:bookmarkStart w:id="22" w:name="_Toc490083853"/>
      <w:bookmarkStart w:id="23" w:name="_Toc523473883"/>
      <w:bookmarkStart w:id="24" w:name="_Toc22304699"/>
      <w:bookmarkStart w:id="25" w:name="_Toc22487027"/>
      <w:bookmarkStart w:id="26" w:name="_Toc22487146"/>
      <w:bookmarkStart w:id="27" w:name="_Toc22487621"/>
      <w:bookmarkStart w:id="28" w:name="_Toc466921629"/>
      <w:bookmarkStart w:id="29" w:name="_Toc449469095"/>
      <w:bookmarkStart w:id="30" w:name="_Hlk523424464"/>
      <w:r>
        <w:t>Purpose of the policy</w:t>
      </w:r>
      <w:bookmarkEnd w:id="22"/>
      <w:bookmarkEnd w:id="23"/>
      <w:bookmarkEnd w:id="24"/>
      <w:bookmarkEnd w:id="25"/>
      <w:bookmarkEnd w:id="26"/>
      <w:bookmarkEnd w:id="27"/>
    </w:p>
    <w:p w14:paraId="66B5DFC2" w14:textId="589F6E02" w:rsidR="0012210E" w:rsidRDefault="00C402A6">
      <w:pPr>
        <w:spacing w:after="0" w:line="276" w:lineRule="auto"/>
        <w:jc w:val="both"/>
        <w:rPr>
          <w:i/>
          <w:szCs w:val="24"/>
        </w:rPr>
      </w:pPr>
      <w:r>
        <w:rPr>
          <w:szCs w:val="24"/>
        </w:rPr>
        <w:t>The purpose of this policy is to confirm that Castle Manor Academy has a written record which clearly shows the centre is leading on the access arrangements process and is complying with its</w:t>
      </w:r>
      <w:r w:rsidR="000B5A43">
        <w:rPr>
          <w:szCs w:val="24"/>
        </w:rPr>
        <w:t xml:space="preserve"> </w:t>
      </w:r>
      <w:r>
        <w:rPr>
          <w:iCs/>
          <w:color w:val="595959" w:themeColor="text1" w:themeTint="A6"/>
          <w:szCs w:val="24"/>
        </w:rPr>
        <w:t>obligation to identify the need for, request and implement access arrangements.</w:t>
      </w:r>
    </w:p>
    <w:p w14:paraId="6A55F469" w14:textId="77777777" w:rsidR="0012210E" w:rsidRDefault="00C402A6">
      <w:pPr>
        <w:pStyle w:val="ListParagraph"/>
        <w:tabs>
          <w:tab w:val="left" w:pos="10490"/>
        </w:tabs>
        <w:spacing w:before="0" w:line="276" w:lineRule="auto"/>
        <w:ind w:right="-11"/>
        <w:jc w:val="right"/>
        <w:rPr>
          <w:rFonts w:ascii="Rockwell Condensed" w:hAnsi="Rockwell Condensed"/>
          <w:sz w:val="18"/>
          <w:szCs w:val="18"/>
        </w:rPr>
      </w:pPr>
      <w:r>
        <w:rPr>
          <w:rFonts w:ascii="Rockwell Condensed" w:hAnsi="Rockwell Condensed"/>
          <w:sz w:val="18"/>
          <w:szCs w:val="18"/>
        </w:rPr>
        <w:t xml:space="preserve">[JCQ </w:t>
      </w:r>
      <w:r>
        <w:rPr>
          <w:rFonts w:ascii="Rockwell Condensed" w:hAnsi="Rockwell Condensed" w:cs="Arial"/>
          <w:sz w:val="18"/>
          <w:szCs w:val="18"/>
        </w:rPr>
        <w:t xml:space="preserve">General Regulations for Approved Centres, </w:t>
      </w:r>
      <w:r>
        <w:rPr>
          <w:rFonts w:ascii="Rockwell Condensed" w:hAnsi="Rockwell Condensed"/>
          <w:sz w:val="18"/>
          <w:szCs w:val="18"/>
        </w:rPr>
        <w:t>5.4]</w:t>
      </w:r>
    </w:p>
    <w:p w14:paraId="7E8E3F4D" w14:textId="77777777" w:rsidR="0012210E" w:rsidRDefault="00C402A6">
      <w:pPr>
        <w:jc w:val="right"/>
        <w:rPr>
          <w:rFonts w:cs="Arial"/>
          <w:i/>
          <w:color w:val="000000"/>
          <w:szCs w:val="24"/>
        </w:rPr>
      </w:pPr>
      <w:r>
        <w:rPr>
          <w:szCs w:val="24"/>
        </w:rPr>
        <w:t xml:space="preserve">This publication is further referred to in this policy as </w:t>
      </w:r>
      <w:hyperlink r:id="rId15" w:history="1">
        <w:r>
          <w:rPr>
            <w:rStyle w:val="Hyperlink"/>
            <w:rFonts w:ascii="Rockwell Condensed" w:hAnsi="Rockwell Condensed" w:cs="Arial"/>
            <w:szCs w:val="24"/>
          </w:rPr>
          <w:t>GR</w:t>
        </w:r>
      </w:hyperlink>
    </w:p>
    <w:p w14:paraId="321F610A" w14:textId="774C28DA" w:rsidR="0012210E" w:rsidRDefault="00C402A6">
      <w:pPr>
        <w:tabs>
          <w:tab w:val="left" w:pos="10490"/>
        </w:tabs>
        <w:spacing w:line="276" w:lineRule="auto"/>
        <w:ind w:right="-11"/>
        <w:jc w:val="both"/>
        <w:rPr>
          <w:rFonts w:eastAsia="Times New Roman"/>
        </w:rPr>
      </w:pPr>
      <w:r>
        <w:rPr>
          <w:rFonts w:eastAsia="Times New Roman"/>
        </w:rPr>
        <w:t xml:space="preserve">This policy is maintained and held by the SENCo/Examination officer alongside the individual files of each access arrangements candidate. Each file contains detailed records of all the essential information that is required to be held according to the regulations. </w:t>
      </w:r>
    </w:p>
    <w:p w14:paraId="78DA7E0B" w14:textId="77777777" w:rsidR="0012210E" w:rsidRPr="000B5A43" w:rsidRDefault="00C402A6">
      <w:pPr>
        <w:autoSpaceDE w:val="0"/>
        <w:autoSpaceDN w:val="0"/>
        <w:adjustRightInd w:val="0"/>
        <w:spacing w:after="0" w:line="276" w:lineRule="auto"/>
        <w:jc w:val="both"/>
        <w:rPr>
          <w:b/>
          <w:szCs w:val="24"/>
        </w:rPr>
      </w:pPr>
      <w:r>
        <w:rPr>
          <w:szCs w:val="24"/>
        </w:rPr>
        <w:t xml:space="preserve">The policy is annually reviewed to ensure that processes are carried out in accordance with the current edition of the JCQ publication </w:t>
      </w:r>
      <w:r w:rsidRPr="000B5A43">
        <w:rPr>
          <w:rFonts w:cs="Arial"/>
          <w:b/>
          <w:szCs w:val="24"/>
        </w:rPr>
        <w:t>Adjustments for candidates with disabilities and learning difficulties</w:t>
      </w:r>
      <w:r w:rsidRPr="000B5A43">
        <w:rPr>
          <w:b/>
          <w:szCs w:val="24"/>
        </w:rPr>
        <w:t xml:space="preserve"> </w:t>
      </w:r>
      <w:r w:rsidRPr="000B5A43">
        <w:rPr>
          <w:rFonts w:cs="Arial"/>
          <w:b/>
          <w:szCs w:val="24"/>
        </w:rPr>
        <w:t>Access Arrangements and Reasonable Adjustments.</w:t>
      </w:r>
    </w:p>
    <w:p w14:paraId="71225BC9" w14:textId="4FE63E41" w:rsidR="0012210E" w:rsidRDefault="00C402A6">
      <w:pPr>
        <w:spacing w:line="276" w:lineRule="auto"/>
        <w:jc w:val="right"/>
        <w:rPr>
          <w:rFonts w:cs="Arial"/>
          <w:szCs w:val="24"/>
        </w:rPr>
      </w:pPr>
      <w:r>
        <w:rPr>
          <w:rFonts w:cs="Arial"/>
          <w:bCs/>
          <w:szCs w:val="24"/>
        </w:rPr>
        <w:t xml:space="preserve">This publication is further referred to in this policy as </w:t>
      </w:r>
      <w:hyperlink r:id="rId16" w:history="1">
        <w:r>
          <w:rPr>
            <w:rStyle w:val="Hyperlink"/>
            <w:rFonts w:ascii="Rockwell Condensed" w:hAnsi="Rockwell Condensed" w:cs="Arial"/>
            <w:szCs w:val="24"/>
          </w:rPr>
          <w:t>AA</w:t>
        </w:r>
      </w:hyperlink>
      <w:r w:rsidR="000B5A43">
        <w:rPr>
          <w:rStyle w:val="Hyperlink"/>
          <w:rFonts w:ascii="Rockwell Condensed" w:hAnsi="Rockwell Condensed" w:cs="Arial"/>
          <w:szCs w:val="24"/>
        </w:rPr>
        <w:t>RA</w:t>
      </w:r>
    </w:p>
    <w:p w14:paraId="4E282E85" w14:textId="77777777" w:rsidR="0012210E" w:rsidRDefault="00C402A6">
      <w:pPr>
        <w:pStyle w:val="Headinglevel1"/>
        <w:spacing w:before="240" w:line="276" w:lineRule="auto"/>
      </w:pPr>
      <w:bookmarkStart w:id="31" w:name="_Toc490083854"/>
      <w:bookmarkStart w:id="32" w:name="_Toc496088793"/>
      <w:bookmarkStart w:id="33" w:name="_Toc523473884"/>
      <w:bookmarkStart w:id="34" w:name="_Toc22304700"/>
      <w:bookmarkStart w:id="35" w:name="_Toc22487028"/>
      <w:bookmarkStart w:id="36" w:name="_Toc22487147"/>
      <w:bookmarkStart w:id="37" w:name="_Toc22487622"/>
      <w:bookmarkStart w:id="38" w:name="_Toc443593739"/>
      <w:bookmarkStart w:id="39" w:name="_Toc466921640"/>
      <w:bookmarkEnd w:id="28"/>
      <w:bookmarkEnd w:id="29"/>
      <w:bookmarkEnd w:id="30"/>
      <w:r>
        <w:t>General principles</w:t>
      </w:r>
    </w:p>
    <w:p w14:paraId="6AD8F638" w14:textId="2963F379" w:rsidR="000B5A43" w:rsidRDefault="000B5A43">
      <w:pPr>
        <w:pStyle w:val="Headinglevel1"/>
        <w:spacing w:before="240" w:line="276" w:lineRule="auto"/>
        <w:rPr>
          <w:b w:val="0"/>
          <w:color w:val="auto"/>
          <w:sz w:val="22"/>
          <w:szCs w:val="22"/>
        </w:rPr>
      </w:pPr>
      <w:r>
        <w:rPr>
          <w:b w:val="0"/>
          <w:color w:val="auto"/>
          <w:sz w:val="22"/>
          <w:szCs w:val="22"/>
        </w:rPr>
        <w:t xml:space="preserve">The head of centre will appoint a SENCo, or an equivalent member of staff, </w:t>
      </w:r>
      <w:r w:rsidR="003271DF">
        <w:rPr>
          <w:b w:val="0"/>
          <w:color w:val="auto"/>
          <w:sz w:val="22"/>
          <w:szCs w:val="22"/>
        </w:rPr>
        <w:t xml:space="preserve">to </w:t>
      </w:r>
      <w:r>
        <w:rPr>
          <w:b w:val="0"/>
          <w:color w:val="auto"/>
          <w:sz w:val="22"/>
          <w:szCs w:val="22"/>
        </w:rPr>
        <w:t xml:space="preserve">coordinate the access arrangements process within the centre and determine appropriate arrangements for candidates with learning difficulties and disabilities, </w:t>
      </w:r>
      <w:r w:rsidR="003271DF">
        <w:rPr>
          <w:b w:val="0"/>
          <w:color w:val="auto"/>
          <w:sz w:val="22"/>
          <w:szCs w:val="22"/>
        </w:rPr>
        <w:t xml:space="preserve">those </w:t>
      </w:r>
      <w:r>
        <w:rPr>
          <w:b w:val="0"/>
          <w:color w:val="auto"/>
          <w:sz w:val="22"/>
          <w:szCs w:val="22"/>
        </w:rPr>
        <w:t>for whom English is an additional language</w:t>
      </w:r>
      <w:r w:rsidR="003271DF">
        <w:rPr>
          <w:b w:val="0"/>
          <w:color w:val="auto"/>
          <w:sz w:val="22"/>
          <w:szCs w:val="22"/>
        </w:rPr>
        <w:t xml:space="preserve"> and t</w:t>
      </w:r>
      <w:r>
        <w:rPr>
          <w:b w:val="0"/>
          <w:color w:val="auto"/>
          <w:sz w:val="22"/>
          <w:szCs w:val="22"/>
        </w:rPr>
        <w:t>hose with a temporary illness or temporary injury. (GR5.4)</w:t>
      </w:r>
    </w:p>
    <w:p w14:paraId="768D91EF" w14:textId="2EF43D1B" w:rsidR="0012210E" w:rsidRDefault="00C402A6">
      <w:pPr>
        <w:pStyle w:val="Headinglevel1"/>
        <w:spacing w:before="240" w:line="276" w:lineRule="auto"/>
        <w:rPr>
          <w:b w:val="0"/>
          <w:color w:val="auto"/>
          <w:sz w:val="22"/>
          <w:szCs w:val="22"/>
        </w:rPr>
      </w:pPr>
      <w:r>
        <w:rPr>
          <w:b w:val="0"/>
          <w:color w:val="auto"/>
          <w:sz w:val="22"/>
          <w:szCs w:val="22"/>
        </w:rPr>
        <w:t xml:space="preserve">The principles </w:t>
      </w:r>
      <w:r w:rsidR="004953A3">
        <w:rPr>
          <w:b w:val="0"/>
          <w:color w:val="auto"/>
          <w:sz w:val="22"/>
          <w:szCs w:val="22"/>
        </w:rPr>
        <w:t>fo</w:t>
      </w:r>
      <w:r>
        <w:rPr>
          <w:b w:val="0"/>
          <w:color w:val="auto"/>
          <w:sz w:val="22"/>
          <w:szCs w:val="22"/>
        </w:rPr>
        <w:t>r the centre to consider are detailed in AA</w:t>
      </w:r>
      <w:r w:rsidR="000B5A43">
        <w:rPr>
          <w:b w:val="0"/>
          <w:color w:val="auto"/>
          <w:sz w:val="22"/>
          <w:szCs w:val="22"/>
        </w:rPr>
        <w:t>RA</w:t>
      </w:r>
      <w:r>
        <w:rPr>
          <w:b w:val="0"/>
          <w:color w:val="auto"/>
          <w:sz w:val="22"/>
          <w:szCs w:val="22"/>
        </w:rPr>
        <w:t xml:space="preserve"> (section 4.2).  These include:</w:t>
      </w:r>
    </w:p>
    <w:p w14:paraId="30247410" w14:textId="727EDBA8" w:rsidR="0012210E" w:rsidRDefault="00C402A6">
      <w:pPr>
        <w:pStyle w:val="NoSpacing"/>
        <w:numPr>
          <w:ilvl w:val="0"/>
          <w:numId w:val="5"/>
        </w:numPr>
      </w:pPr>
      <w:r>
        <w:t>The purpose of an access arrangement</w:t>
      </w:r>
      <w:r w:rsidR="004953A3">
        <w:t>/reasonable adjustment</w:t>
      </w:r>
      <w:r>
        <w:t xml:space="preserve"> is to ensure, where possible, that barriers to assessment are removed for a disabled candidate preventing </w:t>
      </w:r>
      <w:r w:rsidR="00B238E1">
        <w:t>them</w:t>
      </w:r>
      <w:r>
        <w:t xml:space="preserve"> from being placed at a substantial disadvantage due to persistent and significant difficulties.  The integrity of the assessment is maintained, whist at the same time providing access to assessments for a disable candidate.</w:t>
      </w:r>
    </w:p>
    <w:p w14:paraId="01855592" w14:textId="3F05B4BF" w:rsidR="0012210E" w:rsidRDefault="00C402A6">
      <w:pPr>
        <w:pStyle w:val="NoSpacing"/>
        <w:numPr>
          <w:ilvl w:val="0"/>
          <w:numId w:val="5"/>
        </w:numPr>
      </w:pPr>
      <w:r>
        <w:lastRenderedPageBreak/>
        <w:t xml:space="preserve">The SENCo, or an equivalent member of staff must ensure that the proposed access arrangement does not </w:t>
      </w:r>
      <w:r w:rsidR="004953A3">
        <w:t xml:space="preserve">unfairly </w:t>
      </w:r>
      <w:r>
        <w:t>disadvantage or advantage the candidate.</w:t>
      </w:r>
    </w:p>
    <w:p w14:paraId="58F3E697" w14:textId="748675B4" w:rsidR="00B238E1" w:rsidRDefault="00B238E1">
      <w:pPr>
        <w:pStyle w:val="NoSpacing"/>
        <w:numPr>
          <w:ilvl w:val="0"/>
          <w:numId w:val="5"/>
        </w:numPr>
      </w:pPr>
      <w:r>
        <w:t xml:space="preserve">A centre </w:t>
      </w:r>
      <w:r w:rsidRPr="00B238E1">
        <w:rPr>
          <w:b/>
          <w:bCs/>
        </w:rPr>
        <w:t>must</w:t>
      </w:r>
      <w:r>
        <w:t xml:space="preserve"> make decisions on appropriate access arrangements for their candidates.  Although professionals from other organisations may give advice, they </w:t>
      </w:r>
      <w:r w:rsidRPr="00B238E1">
        <w:rPr>
          <w:b/>
          <w:bCs/>
        </w:rPr>
        <w:t>cannot</w:t>
      </w:r>
      <w:r>
        <w:t xml:space="preserve"> make the decision for the centre.  They will not have a working knowledge of an individual candidate’s needs and how their difficulties impact in the classroom and/or in timed assessments.  It is the responsibility of the SENCo to make appropriate and informed decisions based on the JCQ regulations.</w:t>
      </w:r>
    </w:p>
    <w:p w14:paraId="733067A6" w14:textId="0C039523" w:rsidR="004953A3" w:rsidRDefault="003271DF" w:rsidP="00100D6E">
      <w:pPr>
        <w:pStyle w:val="NoSpacing"/>
        <w:numPr>
          <w:ilvl w:val="0"/>
          <w:numId w:val="5"/>
        </w:numPr>
      </w:pPr>
      <w:r>
        <w:t>Applications</w:t>
      </w:r>
      <w:r w:rsidR="004953A3">
        <w:t xml:space="preserve"> should be processed at the start of </w:t>
      </w:r>
      <w:r>
        <w:t>or during the first year of a two-year</w:t>
      </w:r>
      <w:r w:rsidR="004953A3">
        <w:t xml:space="preserve"> course</w:t>
      </w:r>
      <w:r>
        <w:t xml:space="preserve"> having firmly established a picture of need and normal way of working</w:t>
      </w:r>
      <w:r w:rsidR="004953A3">
        <w:t>.</w:t>
      </w:r>
    </w:p>
    <w:p w14:paraId="2305528E" w14:textId="77777777" w:rsidR="004953A3" w:rsidRDefault="004953A3" w:rsidP="00100D6E">
      <w:pPr>
        <w:pStyle w:val="NoSpacing"/>
        <w:numPr>
          <w:ilvl w:val="0"/>
          <w:numId w:val="5"/>
        </w:numPr>
      </w:pPr>
      <w:r>
        <w:t>Arrangements must always be approved before an examination or assessment.</w:t>
      </w:r>
    </w:p>
    <w:p w14:paraId="1E3CCB5C" w14:textId="77777777" w:rsidR="0012210E" w:rsidRDefault="004953A3" w:rsidP="00100D6E">
      <w:pPr>
        <w:pStyle w:val="NoSpacing"/>
        <w:numPr>
          <w:ilvl w:val="0"/>
          <w:numId w:val="5"/>
        </w:numPr>
      </w:pPr>
      <w:r>
        <w:t>A</w:t>
      </w:r>
      <w:r w:rsidR="00C402A6">
        <w:t>rrangement(s) put in place must reflect the support given to the candidate in the centre.</w:t>
      </w:r>
    </w:p>
    <w:p w14:paraId="1D523DA0" w14:textId="2040FDFA" w:rsidR="0012210E" w:rsidRDefault="00C402A6">
      <w:pPr>
        <w:pStyle w:val="NoSpacing"/>
        <w:numPr>
          <w:ilvl w:val="0"/>
          <w:numId w:val="5"/>
        </w:numPr>
      </w:pPr>
      <w:r>
        <w:t xml:space="preserve">The candidate </w:t>
      </w:r>
      <w:r>
        <w:rPr>
          <w:b/>
        </w:rPr>
        <w:t>must</w:t>
      </w:r>
      <w:r>
        <w:t xml:space="preserve"> have had appropriate opportunities to practise using the access arrangement(s) before </w:t>
      </w:r>
      <w:r w:rsidR="00B238E1">
        <w:t>their</w:t>
      </w:r>
      <w:r>
        <w:t xml:space="preserve"> first examination.</w:t>
      </w:r>
    </w:p>
    <w:p w14:paraId="7712D540" w14:textId="77777777" w:rsidR="0012210E" w:rsidRDefault="00C402A6">
      <w:pPr>
        <w:pStyle w:val="Headinglevel1"/>
        <w:spacing w:before="240" w:line="276" w:lineRule="auto"/>
      </w:pPr>
      <w:r>
        <w:t>Equalities Policy (Exams)</w:t>
      </w:r>
      <w:bookmarkEnd w:id="31"/>
      <w:bookmarkEnd w:id="32"/>
      <w:bookmarkEnd w:id="33"/>
      <w:bookmarkEnd w:id="34"/>
      <w:bookmarkEnd w:id="35"/>
      <w:bookmarkEnd w:id="36"/>
      <w:bookmarkEnd w:id="37"/>
    </w:p>
    <w:p w14:paraId="288BE5F2" w14:textId="77777777" w:rsidR="0012210E" w:rsidRDefault="00C402A6">
      <w:pPr>
        <w:spacing w:line="276" w:lineRule="auto"/>
        <w:jc w:val="both"/>
        <w:rPr>
          <w:szCs w:val="24"/>
        </w:rPr>
      </w:pPr>
      <w:r>
        <w:rPr>
          <w:szCs w:val="24"/>
        </w:rPr>
        <w:t>A large part of the access arrangements process is covered in the Equalities Policy (Exams) which covers staff roles and responsibilities in identifying the need for, requesting and implementing access arrangements and the conduct of exams.</w:t>
      </w:r>
    </w:p>
    <w:tbl>
      <w:tblPr>
        <w:tblStyle w:val="TableGrid"/>
        <w:tblW w:w="0" w:type="auto"/>
        <w:tblInd w:w="720" w:type="dxa"/>
        <w:tblLook w:val="04A0" w:firstRow="1" w:lastRow="0" w:firstColumn="1" w:lastColumn="0" w:noHBand="0" w:noVBand="1"/>
      </w:tblPr>
      <w:tblGrid>
        <w:gridCol w:w="9322"/>
      </w:tblGrid>
      <w:tr w:rsidR="0012210E" w14:paraId="29939A82" w14:textId="77777777">
        <w:tc>
          <w:tcPr>
            <w:tcW w:w="9548" w:type="dxa"/>
          </w:tcPr>
          <w:p w14:paraId="1A014BC2" w14:textId="77777777" w:rsidR="0012210E" w:rsidRPr="003271DF" w:rsidRDefault="00C402A6">
            <w:pPr>
              <w:pStyle w:val="Headinglevel2"/>
              <w:spacing w:before="120" w:after="120" w:line="276" w:lineRule="auto"/>
              <w:rPr>
                <w:rFonts w:ascii="Arial" w:hAnsi="Arial" w:cs="Arial"/>
                <w:b w:val="0"/>
                <w:color w:val="auto"/>
              </w:rPr>
            </w:pPr>
            <w:r w:rsidRPr="003271DF">
              <w:rPr>
                <w:rFonts w:ascii="Arial" w:hAnsi="Arial" w:cs="Arial"/>
                <w:b w:val="0"/>
                <w:color w:val="auto"/>
              </w:rPr>
              <w:t>The Equalities Policy can be found on the Castle Manor Academy website under policies</w:t>
            </w:r>
          </w:p>
          <w:p w14:paraId="3EC418F5" w14:textId="2B6B3539" w:rsidR="0012210E" w:rsidRDefault="00C402A6">
            <w:pPr>
              <w:pBdr>
                <w:left w:val="single" w:sz="8" w:space="4" w:color="FFC000"/>
              </w:pBdr>
              <w:shd w:val="clear" w:color="auto" w:fill="F2F2F2" w:themeFill="background1" w:themeFillShade="F2"/>
              <w:spacing w:after="0"/>
              <w:ind w:left="346" w:right="159"/>
              <w:jc w:val="both"/>
              <w:rPr>
                <w:rFonts w:cs="Arial"/>
                <w:color w:val="595959" w:themeColor="text1" w:themeTint="A6"/>
                <w:sz w:val="18"/>
                <w:szCs w:val="18"/>
              </w:rPr>
            </w:pPr>
            <w:r>
              <w:rPr>
                <w:rFonts w:cs="Arial"/>
                <w:b/>
                <w:bCs/>
                <w:color w:val="595959" w:themeColor="text1" w:themeTint="A6"/>
                <w:sz w:val="18"/>
                <w:szCs w:val="18"/>
              </w:rPr>
              <w:t>The head of centre/senior leadership team will</w:t>
            </w:r>
            <w:r>
              <w:rPr>
                <w:rFonts w:cs="Arial"/>
                <w:color w:val="595959" w:themeColor="text1" w:themeTint="A6"/>
                <w:sz w:val="18"/>
                <w:szCs w:val="18"/>
              </w:rPr>
              <w:t>… recognise its duties towards disabled candidates</w:t>
            </w:r>
            <w:r w:rsidR="004953A3">
              <w:rPr>
                <w:rFonts w:cs="Arial"/>
                <w:color w:val="595959" w:themeColor="text1" w:themeTint="A6"/>
                <w:sz w:val="18"/>
                <w:szCs w:val="18"/>
              </w:rPr>
              <w:t>, ensuring compliance with all aspects of the Equality</w:t>
            </w:r>
            <w:r>
              <w:rPr>
                <w:rFonts w:cs="Arial"/>
                <w:color w:val="595959" w:themeColor="text1" w:themeTint="A6"/>
                <w:sz w:val="18"/>
                <w:szCs w:val="18"/>
              </w:rPr>
              <w:t xml:space="preserve"> Act 2010</w:t>
            </w:r>
            <w:r w:rsidR="004953A3">
              <w:rPr>
                <w:rFonts w:cs="Arial"/>
                <w:color w:val="595959" w:themeColor="text1" w:themeTint="A6"/>
                <w:sz w:val="18"/>
                <w:szCs w:val="18"/>
              </w:rPr>
              <w:t>, particularly Section 20 (7)</w:t>
            </w:r>
            <w:r>
              <w:rPr>
                <w:rFonts w:cs="Arial"/>
                <w:color w:val="595959" w:themeColor="text1" w:themeTint="A6"/>
                <w:sz w:val="18"/>
                <w:szCs w:val="18"/>
              </w:rPr>
              <w:t xml:space="preserve">†. This </w:t>
            </w:r>
            <w:r>
              <w:rPr>
                <w:rFonts w:cs="Arial"/>
                <w:b/>
                <w:bCs/>
                <w:color w:val="595959" w:themeColor="text1" w:themeTint="A6"/>
                <w:sz w:val="18"/>
                <w:szCs w:val="18"/>
              </w:rPr>
              <w:t xml:space="preserve">must </w:t>
            </w:r>
            <w:r>
              <w:rPr>
                <w:rFonts w:cs="Arial"/>
                <w:color w:val="595959" w:themeColor="text1" w:themeTint="A6"/>
                <w:sz w:val="18"/>
                <w:szCs w:val="18"/>
              </w:rPr>
              <w:t>include a duty to explore and provide access to suitable courses, through the access arrangements process submit applications for reasonable adjustments and make reasonable adjustments to the service the centre provides to disabled candidates</w:t>
            </w:r>
            <w:r w:rsidR="004953A3">
              <w:rPr>
                <w:rFonts w:cs="Arial"/>
                <w:color w:val="595959" w:themeColor="text1" w:themeTint="A6"/>
                <w:sz w:val="18"/>
                <w:szCs w:val="18"/>
              </w:rPr>
              <w:t>.  Where the centre is under a duty to make a reasonable adjustment, the centre must not charge a disabled candidate any additional fee in relation to the adjustment or aid</w:t>
            </w:r>
          </w:p>
          <w:p w14:paraId="4EE10542" w14:textId="44C97E02" w:rsidR="0012210E" w:rsidRPr="002F6894" w:rsidRDefault="00C402A6" w:rsidP="002F6894">
            <w:pPr>
              <w:pBdr>
                <w:left w:val="single" w:sz="8" w:space="4" w:color="FFC000"/>
              </w:pBdr>
              <w:shd w:val="clear" w:color="auto" w:fill="F2F2F2" w:themeFill="background1" w:themeFillShade="F2"/>
              <w:spacing w:after="0"/>
              <w:ind w:left="346" w:right="159"/>
              <w:jc w:val="both"/>
              <w:rPr>
                <w:rFonts w:cs="Arial"/>
              </w:rPr>
            </w:pPr>
            <w:r>
              <w:rPr>
                <w:rFonts w:cs="Arial"/>
                <w:color w:val="595959" w:themeColor="text1" w:themeTint="A6"/>
                <w:sz w:val="18"/>
                <w:szCs w:val="18"/>
              </w:rPr>
              <w:t xml:space="preserve">†or any legislation in a relevant jurisdiction other than England and Wales which has an equivalent purpose and effect </w:t>
            </w:r>
            <w:r>
              <w:rPr>
                <w:rFonts w:cs="Arial"/>
              </w:rPr>
              <w:t xml:space="preserve">                                                                                                                        </w:t>
            </w:r>
            <w:r>
              <w:rPr>
                <w:rFonts w:ascii="Rockwell Condensed" w:hAnsi="Rockwell Condensed" w:cs="Arial"/>
                <w:sz w:val="18"/>
                <w:szCs w:val="18"/>
              </w:rPr>
              <w:t>[</w:t>
            </w:r>
            <w:hyperlink r:id="rId17" w:history="1">
              <w:r>
                <w:rPr>
                  <w:rStyle w:val="Hyperlink"/>
                  <w:rFonts w:ascii="Rockwell Condensed" w:hAnsi="Rockwell Condensed" w:cs="Arial"/>
                  <w:sz w:val="18"/>
                  <w:szCs w:val="18"/>
                </w:rPr>
                <w:t>GR</w:t>
              </w:r>
            </w:hyperlink>
            <w:r>
              <w:rPr>
                <w:rFonts w:ascii="Rockwell Condensed" w:hAnsi="Rockwell Condensed" w:cs="Arial"/>
                <w:sz w:val="18"/>
                <w:szCs w:val="18"/>
              </w:rPr>
              <w:t xml:space="preserve"> 5.4]</w:t>
            </w:r>
            <w:r>
              <w:rPr>
                <w:rFonts w:cs="Arial"/>
                <w:sz w:val="18"/>
                <w:szCs w:val="18"/>
              </w:rPr>
              <w:t xml:space="preserve">                                                                                                                               </w:t>
            </w:r>
          </w:p>
        </w:tc>
      </w:tr>
    </w:tbl>
    <w:p w14:paraId="1E9B256D" w14:textId="1CD61666" w:rsidR="0012210E" w:rsidRDefault="00C402A6">
      <w:pPr>
        <w:spacing w:line="276" w:lineRule="auto"/>
        <w:jc w:val="both"/>
        <w:rPr>
          <w:szCs w:val="24"/>
        </w:rPr>
      </w:pPr>
      <w:bookmarkStart w:id="40" w:name="_Toc443593725"/>
      <w:r>
        <w:rPr>
          <w:szCs w:val="24"/>
        </w:rPr>
        <w:t>Th</w:t>
      </w:r>
      <w:r w:rsidR="00B238E1">
        <w:rPr>
          <w:szCs w:val="24"/>
        </w:rPr>
        <w:t>is p</w:t>
      </w:r>
      <w:r>
        <w:rPr>
          <w:szCs w:val="24"/>
        </w:rPr>
        <w:t>olicy further covers the assessment process and related issues in more detail.</w:t>
      </w:r>
    </w:p>
    <w:p w14:paraId="40F782EA" w14:textId="77777777" w:rsidR="0012210E" w:rsidRDefault="00C402A6">
      <w:pPr>
        <w:pStyle w:val="Headinglevel1"/>
        <w:spacing w:before="240" w:line="276" w:lineRule="auto"/>
      </w:pPr>
      <w:bookmarkStart w:id="41" w:name="_Toc466921631"/>
      <w:bookmarkStart w:id="42" w:name="_Toc490083855"/>
      <w:bookmarkStart w:id="43" w:name="_Toc496088794"/>
      <w:bookmarkStart w:id="44" w:name="_Toc523473885"/>
      <w:bookmarkStart w:id="45" w:name="_Toc22304701"/>
      <w:bookmarkStart w:id="46" w:name="_Toc22487029"/>
      <w:bookmarkStart w:id="47" w:name="_Toc22487148"/>
      <w:bookmarkStart w:id="48" w:name="_Toc22487623"/>
      <w:r>
        <w:t>The assessment process</w:t>
      </w:r>
      <w:bookmarkEnd w:id="40"/>
      <w:bookmarkEnd w:id="41"/>
      <w:bookmarkEnd w:id="42"/>
      <w:bookmarkEnd w:id="43"/>
      <w:bookmarkEnd w:id="44"/>
      <w:bookmarkEnd w:id="45"/>
      <w:bookmarkEnd w:id="46"/>
      <w:bookmarkEnd w:id="47"/>
      <w:bookmarkEnd w:id="48"/>
    </w:p>
    <w:p w14:paraId="72662D50" w14:textId="35AB4490" w:rsidR="0012210E" w:rsidRDefault="00C402A6">
      <w:pPr>
        <w:spacing w:line="276" w:lineRule="auto"/>
        <w:jc w:val="both"/>
        <w:rPr>
          <w:rFonts w:cs="Arial"/>
          <w:szCs w:val="24"/>
        </w:rPr>
      </w:pPr>
      <w:r>
        <w:rPr>
          <w:szCs w:val="24"/>
        </w:rPr>
        <w:t xml:space="preserve">Assessments are carried out by an assessor(s) appointed by the head of centre.  The assessor(s) is (are) appropriately qualified as required by </w:t>
      </w:r>
      <w:r w:rsidRPr="00B238E1">
        <w:rPr>
          <w:szCs w:val="24"/>
        </w:rPr>
        <w:t>JCQ</w:t>
      </w:r>
      <w:r>
        <w:rPr>
          <w:szCs w:val="24"/>
        </w:rPr>
        <w:t xml:space="preserve"> regulations in </w:t>
      </w:r>
      <w:hyperlink r:id="rId18" w:history="1">
        <w:r>
          <w:rPr>
            <w:rStyle w:val="Hyperlink"/>
            <w:rFonts w:ascii="Rockwell Condensed" w:hAnsi="Rockwell Condensed" w:cs="Arial"/>
            <w:szCs w:val="24"/>
          </w:rPr>
          <w:t>AA</w:t>
        </w:r>
      </w:hyperlink>
      <w:r w:rsidR="00B238E1">
        <w:rPr>
          <w:rStyle w:val="Hyperlink"/>
          <w:rFonts w:ascii="Rockwell Condensed" w:hAnsi="Rockwell Condensed" w:cs="Arial"/>
          <w:szCs w:val="24"/>
        </w:rPr>
        <w:t>RA</w:t>
      </w:r>
      <w:r>
        <w:rPr>
          <w:rFonts w:ascii="Rockwell Condensed" w:hAnsi="Rockwell Condensed" w:cs="Arial"/>
          <w:szCs w:val="24"/>
        </w:rPr>
        <w:t xml:space="preserve"> </w:t>
      </w:r>
      <w:r w:rsidR="004953A3">
        <w:rPr>
          <w:rFonts w:ascii="Rockwell Condensed" w:hAnsi="Rockwell Condensed" w:cs="Arial"/>
          <w:szCs w:val="24"/>
        </w:rPr>
        <w:t xml:space="preserve">section </w:t>
      </w:r>
      <w:r>
        <w:rPr>
          <w:rFonts w:ascii="Rockwell Condensed" w:hAnsi="Rockwell Condensed" w:cs="Arial"/>
          <w:szCs w:val="24"/>
        </w:rPr>
        <w:t>7.3</w:t>
      </w:r>
      <w:r>
        <w:rPr>
          <w:rFonts w:cs="Arial"/>
          <w:szCs w:val="24"/>
        </w:rPr>
        <w:t>.</w:t>
      </w:r>
    </w:p>
    <w:p w14:paraId="54E53BE4" w14:textId="77777777" w:rsidR="0012210E" w:rsidRDefault="00C402A6">
      <w:pPr>
        <w:pStyle w:val="Headinglevel2"/>
        <w:spacing w:before="240" w:after="120" w:line="276" w:lineRule="auto"/>
      </w:pPr>
      <w:bookmarkStart w:id="49" w:name="_Toc490083856"/>
      <w:bookmarkStart w:id="50" w:name="_Toc496088795"/>
      <w:bookmarkStart w:id="51" w:name="_Toc523473886"/>
      <w:bookmarkStart w:id="52" w:name="_Toc22304702"/>
      <w:bookmarkStart w:id="53" w:name="_Toc22487030"/>
      <w:bookmarkStart w:id="54" w:name="_Toc22487149"/>
      <w:bookmarkStart w:id="55" w:name="_Toc22487624"/>
      <w:r>
        <w:t>The qualification(s) of the current assessor(s)</w:t>
      </w:r>
      <w:bookmarkEnd w:id="49"/>
      <w:bookmarkEnd w:id="50"/>
      <w:bookmarkEnd w:id="51"/>
      <w:bookmarkEnd w:id="52"/>
      <w:bookmarkEnd w:id="53"/>
      <w:bookmarkEnd w:id="54"/>
      <w:bookmarkEnd w:id="55"/>
      <w:r>
        <w:t xml:space="preserve"> </w:t>
      </w:r>
    </w:p>
    <w:tbl>
      <w:tblPr>
        <w:tblStyle w:val="TableGrid"/>
        <w:tblW w:w="0" w:type="auto"/>
        <w:tblInd w:w="720" w:type="dxa"/>
        <w:tblLook w:val="04A0" w:firstRow="1" w:lastRow="0" w:firstColumn="1" w:lastColumn="0" w:noHBand="0" w:noVBand="1"/>
      </w:tblPr>
      <w:tblGrid>
        <w:gridCol w:w="9322"/>
      </w:tblGrid>
      <w:tr w:rsidR="0012210E" w14:paraId="0BBD3FE3" w14:textId="77777777">
        <w:tc>
          <w:tcPr>
            <w:tcW w:w="9548" w:type="dxa"/>
          </w:tcPr>
          <w:p w14:paraId="68D39F17" w14:textId="77777777" w:rsidR="0012210E" w:rsidRDefault="00CC5FE0" w:rsidP="00CC5FE0">
            <w:pPr>
              <w:spacing w:line="276" w:lineRule="auto"/>
              <w:jc w:val="both"/>
              <w:rPr>
                <w:b/>
                <w:bCs/>
              </w:rPr>
            </w:pPr>
            <w:r>
              <w:rPr>
                <w:b/>
                <w:bCs/>
              </w:rPr>
              <w:t>Kirsty Richards</w:t>
            </w:r>
          </w:p>
          <w:p w14:paraId="198B12CB" w14:textId="77777777" w:rsidR="00CC5FE0" w:rsidRDefault="00CC5FE0" w:rsidP="00CC5FE0">
            <w:pPr>
              <w:pStyle w:val="ListParagraph"/>
              <w:numPr>
                <w:ilvl w:val="0"/>
                <w:numId w:val="12"/>
              </w:numPr>
              <w:spacing w:line="276" w:lineRule="auto"/>
              <w:jc w:val="both"/>
              <w:rPr>
                <w:b/>
                <w:bCs/>
              </w:rPr>
            </w:pPr>
            <w:r>
              <w:rPr>
                <w:b/>
                <w:bCs/>
              </w:rPr>
              <w:t>QTS</w:t>
            </w:r>
          </w:p>
          <w:p w14:paraId="7547AC6C" w14:textId="77777777" w:rsidR="00CC5FE0" w:rsidRDefault="00CC5FE0" w:rsidP="00CC5FE0">
            <w:pPr>
              <w:pStyle w:val="ListParagraph"/>
              <w:numPr>
                <w:ilvl w:val="0"/>
                <w:numId w:val="12"/>
              </w:numPr>
              <w:spacing w:line="276" w:lineRule="auto"/>
              <w:jc w:val="both"/>
              <w:rPr>
                <w:b/>
                <w:bCs/>
              </w:rPr>
            </w:pPr>
            <w:r>
              <w:rPr>
                <w:b/>
                <w:bCs/>
              </w:rPr>
              <w:t>Postgraduate Award of Proficiency in Assessment for Access Arrangements, PAPAA, 09/2016</w:t>
            </w:r>
          </w:p>
          <w:p w14:paraId="4258A064" w14:textId="77777777" w:rsidR="003271DF" w:rsidRDefault="003271DF" w:rsidP="003271DF">
            <w:pPr>
              <w:spacing w:line="276" w:lineRule="auto"/>
              <w:jc w:val="both"/>
              <w:rPr>
                <w:b/>
                <w:bCs/>
              </w:rPr>
            </w:pPr>
            <w:r>
              <w:rPr>
                <w:b/>
                <w:bCs/>
              </w:rPr>
              <w:t>Claire Plunkett</w:t>
            </w:r>
          </w:p>
          <w:p w14:paraId="075CBCA2" w14:textId="5AB9E4CC" w:rsidR="003271DF" w:rsidRPr="003271DF" w:rsidRDefault="003271DF" w:rsidP="003271DF">
            <w:pPr>
              <w:pStyle w:val="ListParagraph"/>
              <w:numPr>
                <w:ilvl w:val="0"/>
                <w:numId w:val="13"/>
              </w:numPr>
              <w:spacing w:line="276" w:lineRule="auto"/>
              <w:jc w:val="both"/>
              <w:rPr>
                <w:b/>
                <w:bCs/>
              </w:rPr>
            </w:pPr>
            <w:r>
              <w:rPr>
                <w:b/>
                <w:bCs/>
              </w:rPr>
              <w:t>Postgraduate Award of Proficiency in Assessment for Access Arrangements, PAPAA, 13/08/2025</w:t>
            </w:r>
          </w:p>
        </w:tc>
      </w:tr>
    </w:tbl>
    <w:p w14:paraId="0E7E9146" w14:textId="019470B6" w:rsidR="00B238E1" w:rsidRDefault="00C402A6">
      <w:pPr>
        <w:pStyle w:val="Headinglevel2"/>
        <w:spacing w:before="240" w:after="120" w:line="276" w:lineRule="auto"/>
      </w:pPr>
      <w:bookmarkStart w:id="56" w:name="_Toc523473887"/>
      <w:bookmarkStart w:id="57" w:name="_Toc22304703"/>
      <w:bookmarkStart w:id="58" w:name="_Toc22487031"/>
      <w:bookmarkStart w:id="59" w:name="_Toc22487150"/>
      <w:bookmarkStart w:id="60" w:name="_Toc22487625"/>
      <w:bookmarkStart w:id="61" w:name="_Toc466921632"/>
      <w:bookmarkStart w:id="62" w:name="_Toc490083857"/>
      <w:bookmarkStart w:id="63" w:name="_Toc496088796"/>
      <w:r>
        <w:t xml:space="preserve">Appointment of assessors </w:t>
      </w:r>
      <w:bookmarkEnd w:id="56"/>
      <w:bookmarkEnd w:id="57"/>
      <w:bookmarkEnd w:id="58"/>
      <w:bookmarkEnd w:id="59"/>
      <w:bookmarkEnd w:id="60"/>
    </w:p>
    <w:p w14:paraId="5B61363B" w14:textId="4C3F995D" w:rsidR="0012210E" w:rsidRDefault="00C402A6">
      <w:pPr>
        <w:spacing w:line="276" w:lineRule="auto"/>
        <w:jc w:val="both"/>
        <w:rPr>
          <w:szCs w:val="24"/>
        </w:rPr>
      </w:pPr>
      <w:r>
        <w:rPr>
          <w:szCs w:val="24"/>
        </w:rPr>
        <w:t xml:space="preserve">At the point an assessor is engaged/employed in the centre, evidence of the assessor’s qualification is obtained and checked against the current requirements in </w:t>
      </w:r>
      <w:hyperlink r:id="rId19" w:history="1">
        <w:r>
          <w:rPr>
            <w:rStyle w:val="Hyperlink"/>
            <w:rFonts w:ascii="Rockwell Condensed" w:hAnsi="Rockwell Condensed" w:cs="Arial"/>
            <w:szCs w:val="24"/>
          </w:rPr>
          <w:t>AA</w:t>
        </w:r>
      </w:hyperlink>
      <w:r w:rsidR="00B238E1">
        <w:rPr>
          <w:rStyle w:val="Hyperlink"/>
          <w:rFonts w:ascii="Rockwell Condensed" w:hAnsi="Rockwell Condensed" w:cs="Arial"/>
          <w:szCs w:val="24"/>
        </w:rPr>
        <w:t>RA</w:t>
      </w:r>
      <w:r>
        <w:rPr>
          <w:szCs w:val="24"/>
        </w:rPr>
        <w:t xml:space="preserve">. This process is carried out prior to the assessor undertaking any assessment of a candidate. </w:t>
      </w:r>
    </w:p>
    <w:p w14:paraId="3B6A49E1" w14:textId="77777777" w:rsidR="0012210E" w:rsidRDefault="00C402A6">
      <w:pPr>
        <w:rPr>
          <w:b/>
          <w:szCs w:val="24"/>
        </w:rPr>
      </w:pPr>
      <w:r>
        <w:rPr>
          <w:b/>
          <w:szCs w:val="24"/>
        </w:rPr>
        <w:t>Checking the qualification(s) of the assessor(s)</w:t>
      </w:r>
      <w:bookmarkEnd w:id="61"/>
      <w:bookmarkEnd w:id="62"/>
      <w:bookmarkEnd w:id="63"/>
      <w:r>
        <w:rPr>
          <w:b/>
          <w:szCs w:val="24"/>
        </w:rPr>
        <w:t xml:space="preserve"> </w:t>
      </w:r>
    </w:p>
    <w:tbl>
      <w:tblPr>
        <w:tblStyle w:val="TableGrid"/>
        <w:tblW w:w="9340" w:type="dxa"/>
        <w:tblInd w:w="720" w:type="dxa"/>
        <w:tblLook w:val="04A0" w:firstRow="1" w:lastRow="0" w:firstColumn="1" w:lastColumn="0" w:noHBand="0" w:noVBand="1"/>
      </w:tblPr>
      <w:tblGrid>
        <w:gridCol w:w="9340"/>
      </w:tblGrid>
      <w:tr w:rsidR="0012210E" w14:paraId="7D062847" w14:textId="77777777">
        <w:tc>
          <w:tcPr>
            <w:tcW w:w="9340" w:type="dxa"/>
          </w:tcPr>
          <w:p w14:paraId="77A10B69" w14:textId="0C2F665C" w:rsidR="0012210E" w:rsidRDefault="00C402A6">
            <w:pPr>
              <w:spacing w:line="276" w:lineRule="auto"/>
              <w:jc w:val="both"/>
            </w:pPr>
            <w:r>
              <w:lastRenderedPageBreak/>
              <w:t>When appointing an external assessor to the centre, evidence of qualification is checked and verified through copies of the certificates and registrations prior to the contract to assess is confirmed. On each occasion for testing (even if using the same assessor in subsequent years), qualifications and registrations are checked and copies of the relevant certificates taken for centre use</w:t>
            </w:r>
            <w:r w:rsidR="00DE7DD7">
              <w:t xml:space="preserve"> are kept with the exams officer.</w:t>
            </w:r>
            <w:r>
              <w:t xml:space="preserve"> </w:t>
            </w:r>
          </w:p>
          <w:p w14:paraId="783FB0B4" w14:textId="77777777" w:rsidR="0012210E" w:rsidRDefault="00C402A6">
            <w:pPr>
              <w:spacing w:line="276" w:lineRule="auto"/>
              <w:jc w:val="both"/>
            </w:pPr>
            <w:r>
              <w:t>This is in regard to the following JCQ regulations and guidance that state that:</w:t>
            </w:r>
          </w:p>
          <w:p w14:paraId="3E6AE972" w14:textId="3C6DA3BF" w:rsidR="0012210E" w:rsidRDefault="00C402A6">
            <w:pPr>
              <w:pBdr>
                <w:left w:val="single" w:sz="8" w:space="4" w:color="FFC000"/>
              </w:pBdr>
              <w:shd w:val="clear" w:color="auto" w:fill="F2F2F2" w:themeFill="background1" w:themeFillShade="F2"/>
              <w:spacing w:after="0"/>
              <w:ind w:left="346" w:right="159"/>
              <w:jc w:val="both"/>
              <w:rPr>
                <w:rFonts w:cs="Arial"/>
              </w:rPr>
            </w:pPr>
            <w:r>
              <w:rPr>
                <w:rFonts w:cs="Arial"/>
                <w:b/>
                <w:bCs/>
                <w:color w:val="595959" w:themeColor="text1" w:themeTint="A6"/>
                <w:sz w:val="18"/>
                <w:szCs w:val="18"/>
              </w:rPr>
              <w:t>The head of centre/senior leadership team will</w:t>
            </w:r>
            <w:r>
              <w:rPr>
                <w:rFonts w:cs="Arial"/>
                <w:color w:val="595959" w:themeColor="text1" w:themeTint="A6"/>
                <w:sz w:val="18"/>
                <w:szCs w:val="18"/>
              </w:rPr>
              <w:t xml:space="preserve">… have a </w:t>
            </w:r>
            <w:r>
              <w:rPr>
                <w:rFonts w:cs="Arial"/>
                <w:b/>
                <w:bCs/>
                <w:color w:val="595959" w:themeColor="text1" w:themeTint="A6"/>
                <w:sz w:val="18"/>
                <w:szCs w:val="18"/>
              </w:rPr>
              <w:t xml:space="preserve">written </w:t>
            </w:r>
            <w:r>
              <w:rPr>
                <w:rFonts w:cs="Arial"/>
                <w:color w:val="595959" w:themeColor="text1" w:themeTint="A6"/>
                <w:sz w:val="18"/>
                <w:szCs w:val="18"/>
              </w:rPr>
              <w:t xml:space="preserve">process in place to check the qualification(s) of their assessor(s) </w:t>
            </w:r>
            <w:r w:rsidR="003271DF">
              <w:rPr>
                <w:rFonts w:cs="Arial"/>
                <w:color w:val="595959" w:themeColor="text1" w:themeTint="A6"/>
                <w:sz w:val="18"/>
                <w:szCs w:val="18"/>
              </w:rPr>
              <w:t xml:space="preserve">and </w:t>
            </w:r>
            <w:r>
              <w:rPr>
                <w:rFonts w:cs="Arial"/>
                <w:color w:val="595959" w:themeColor="text1" w:themeTint="A6"/>
                <w:sz w:val="18"/>
                <w:szCs w:val="18"/>
              </w:rPr>
              <w:t xml:space="preserve">that the correct procedures are followed as per </w:t>
            </w:r>
            <w:r>
              <w:rPr>
                <w:rFonts w:cs="Arial"/>
                <w:b/>
                <w:bCs/>
                <w:color w:val="595959" w:themeColor="text1" w:themeTint="A6"/>
                <w:sz w:val="18"/>
                <w:szCs w:val="18"/>
              </w:rPr>
              <w:t>Chapter 7</w:t>
            </w:r>
            <w:r>
              <w:rPr>
                <w:rFonts w:cs="Arial"/>
                <w:color w:val="595959" w:themeColor="text1" w:themeTint="A6"/>
                <w:sz w:val="18"/>
                <w:szCs w:val="18"/>
              </w:rPr>
              <w:t xml:space="preserve"> of the JCQ </w:t>
            </w:r>
            <w:r w:rsidR="00B238E1">
              <w:rPr>
                <w:rFonts w:cs="Arial"/>
                <w:color w:val="595959" w:themeColor="text1" w:themeTint="A6"/>
                <w:sz w:val="18"/>
                <w:szCs w:val="18"/>
              </w:rPr>
              <w:t>document</w:t>
            </w:r>
            <w:r>
              <w:rPr>
                <w:rFonts w:cs="Arial"/>
                <w:color w:val="595959" w:themeColor="text1" w:themeTint="A6"/>
                <w:sz w:val="18"/>
                <w:szCs w:val="18"/>
              </w:rPr>
              <w:t xml:space="preserve"> Access Arrangements and Reasonable Adjustments…</w:t>
            </w:r>
            <w:r>
              <w:rPr>
                <w:rFonts w:cs="Arial"/>
              </w:rPr>
              <w:t xml:space="preserve">                                      </w:t>
            </w:r>
            <w:r>
              <w:rPr>
                <w:rFonts w:ascii="Rockwell Condensed" w:hAnsi="Rockwell Condensed" w:cs="Arial"/>
                <w:sz w:val="18"/>
                <w:szCs w:val="18"/>
              </w:rPr>
              <w:t>[</w:t>
            </w:r>
            <w:hyperlink r:id="rId20" w:history="1">
              <w:r>
                <w:rPr>
                  <w:rStyle w:val="Hyperlink"/>
                  <w:rFonts w:ascii="Rockwell Condensed" w:hAnsi="Rockwell Condensed" w:cs="Arial"/>
                  <w:sz w:val="18"/>
                  <w:szCs w:val="18"/>
                </w:rPr>
                <w:t>GR</w:t>
              </w:r>
            </w:hyperlink>
            <w:r>
              <w:rPr>
                <w:rFonts w:ascii="Rockwell Condensed" w:hAnsi="Rockwell Condensed" w:cs="Arial"/>
                <w:sz w:val="18"/>
                <w:szCs w:val="18"/>
              </w:rPr>
              <w:t xml:space="preserve"> 5.4]</w:t>
            </w:r>
            <w:r>
              <w:rPr>
                <w:rFonts w:cs="Arial"/>
                <w:sz w:val="18"/>
                <w:szCs w:val="18"/>
              </w:rPr>
              <w:t xml:space="preserve">                                                                                                                               </w:t>
            </w:r>
            <w:r>
              <w:rPr>
                <w:rFonts w:cs="Arial"/>
              </w:rPr>
              <w:t xml:space="preserve">                                                                          </w:t>
            </w:r>
          </w:p>
          <w:p w14:paraId="268A7E3A" w14:textId="77777777" w:rsidR="0012210E" w:rsidRDefault="0012210E">
            <w:pPr>
              <w:spacing w:after="0" w:line="276" w:lineRule="auto"/>
              <w:jc w:val="both"/>
            </w:pPr>
          </w:p>
          <w:p w14:paraId="2A19394F" w14:textId="77777777" w:rsidR="0012210E" w:rsidRPr="00B238E1" w:rsidRDefault="00C402A6">
            <w:pPr>
              <w:pBdr>
                <w:left w:val="single" w:sz="8" w:space="4" w:color="FFC000"/>
              </w:pBdr>
              <w:shd w:val="clear" w:color="auto" w:fill="F2F2F2" w:themeFill="background1" w:themeFillShade="F2"/>
              <w:spacing w:after="0"/>
              <w:ind w:left="346" w:right="159"/>
              <w:jc w:val="both"/>
              <w:rPr>
                <w:rFonts w:cs="Arial"/>
                <w:color w:val="595959" w:themeColor="text1" w:themeTint="A6"/>
                <w:sz w:val="18"/>
                <w:szCs w:val="18"/>
              </w:rPr>
            </w:pPr>
            <w:r w:rsidRPr="00B238E1">
              <w:rPr>
                <w:rFonts w:cs="Arial"/>
                <w:color w:val="595959" w:themeColor="text1" w:themeTint="A6"/>
                <w:sz w:val="18"/>
                <w:szCs w:val="18"/>
              </w:rPr>
              <w:t xml:space="preserve">The head of centre </w:t>
            </w:r>
            <w:r w:rsidRPr="00B238E1">
              <w:rPr>
                <w:rFonts w:cs="Arial"/>
                <w:color w:val="595959" w:themeColor="text1" w:themeTint="A6"/>
                <w:sz w:val="18"/>
                <w:szCs w:val="18"/>
                <w:u w:val="single"/>
              </w:rPr>
              <w:t>must</w:t>
            </w:r>
            <w:r w:rsidRPr="00B238E1">
              <w:rPr>
                <w:rFonts w:cs="Arial"/>
                <w:color w:val="595959" w:themeColor="text1" w:themeTint="A6"/>
                <w:sz w:val="18"/>
                <w:szCs w:val="18"/>
              </w:rPr>
              <w:t xml:space="preserve"> ensure that evidence of the assessor’s qualification(s) is obtained </w:t>
            </w:r>
            <w:r w:rsidRPr="00B238E1">
              <w:rPr>
                <w:rFonts w:cs="Arial"/>
                <w:color w:val="595959" w:themeColor="text1" w:themeTint="A6"/>
                <w:sz w:val="18"/>
                <w:szCs w:val="18"/>
                <w:u w:val="single"/>
              </w:rPr>
              <w:t>at the point of engagement/employment</w:t>
            </w:r>
            <w:r w:rsidRPr="00B238E1">
              <w:rPr>
                <w:rFonts w:cs="Arial"/>
                <w:color w:val="595959" w:themeColor="text1" w:themeTint="A6"/>
                <w:sz w:val="18"/>
                <w:szCs w:val="18"/>
              </w:rPr>
              <w:t xml:space="preserve"> and prior to the assessor undertaking any assessment of a candidate. </w:t>
            </w:r>
          </w:p>
          <w:p w14:paraId="24B8550E" w14:textId="17D27FB6" w:rsidR="0012210E" w:rsidRDefault="00C402A6">
            <w:pPr>
              <w:pBdr>
                <w:left w:val="single" w:sz="8" w:space="4" w:color="FFC000"/>
              </w:pBdr>
              <w:shd w:val="clear" w:color="auto" w:fill="F2F2F2" w:themeFill="background1" w:themeFillShade="F2"/>
              <w:spacing w:before="60" w:after="0"/>
              <w:ind w:left="346" w:right="159"/>
              <w:jc w:val="both"/>
              <w:rPr>
                <w:rFonts w:cs="Arial"/>
              </w:rPr>
            </w:pPr>
            <w:r w:rsidRPr="00B238E1">
              <w:rPr>
                <w:rFonts w:cs="Arial"/>
                <w:color w:val="595959" w:themeColor="text1" w:themeTint="A6"/>
                <w:sz w:val="18"/>
                <w:szCs w:val="18"/>
              </w:rPr>
              <w:t xml:space="preserve">Evidence of the assessor’s qualification(s) </w:t>
            </w:r>
            <w:r w:rsidRPr="00B238E1">
              <w:rPr>
                <w:rFonts w:cs="Arial"/>
                <w:color w:val="595959" w:themeColor="text1" w:themeTint="A6"/>
                <w:sz w:val="18"/>
                <w:szCs w:val="18"/>
                <w:u w:val="single"/>
              </w:rPr>
              <w:t>must</w:t>
            </w:r>
            <w:r w:rsidRPr="00B238E1">
              <w:rPr>
                <w:rFonts w:cs="Arial"/>
                <w:color w:val="595959" w:themeColor="text1" w:themeTint="A6"/>
                <w:sz w:val="18"/>
                <w:szCs w:val="18"/>
              </w:rPr>
              <w:t xml:space="preserve"> be held on file for inspection purposes and be presented to the JCQ Centre Inspector by the SENCo</w:t>
            </w:r>
            <w:r>
              <w:rPr>
                <w:rFonts w:cs="Arial"/>
                <w:b/>
                <w:bCs/>
                <w:color w:val="595959" w:themeColor="text1" w:themeTint="A6"/>
                <w:sz w:val="18"/>
                <w:szCs w:val="18"/>
              </w:rPr>
              <w:t>.</w:t>
            </w:r>
            <w:r>
              <w:rPr>
                <w:rFonts w:cs="Arial"/>
                <w:color w:val="595959" w:themeColor="text1" w:themeTint="A6"/>
              </w:rPr>
              <w:t xml:space="preserve">                                                                </w:t>
            </w:r>
            <w:r>
              <w:rPr>
                <w:rFonts w:ascii="Rockwell Condensed" w:hAnsi="Rockwell Condensed" w:cs="Arial"/>
                <w:sz w:val="18"/>
                <w:szCs w:val="18"/>
              </w:rPr>
              <w:t>[</w:t>
            </w:r>
            <w:hyperlink r:id="rId21" w:history="1">
              <w:r>
                <w:rPr>
                  <w:rStyle w:val="Hyperlink"/>
                  <w:rFonts w:ascii="Rockwell Condensed" w:hAnsi="Rockwell Condensed" w:cs="Arial"/>
                  <w:sz w:val="18"/>
                  <w:szCs w:val="18"/>
                </w:rPr>
                <w:t>AA</w:t>
              </w:r>
            </w:hyperlink>
            <w:r w:rsidR="00B238E1">
              <w:rPr>
                <w:rStyle w:val="Hyperlink"/>
                <w:rFonts w:ascii="Rockwell Condensed" w:hAnsi="Rockwell Condensed" w:cs="Arial"/>
                <w:sz w:val="18"/>
                <w:szCs w:val="18"/>
              </w:rPr>
              <w:t>RA</w:t>
            </w:r>
            <w:r>
              <w:rPr>
                <w:rFonts w:ascii="Rockwell Condensed" w:hAnsi="Rockwell Condensed" w:cs="Arial"/>
                <w:sz w:val="18"/>
                <w:szCs w:val="18"/>
              </w:rPr>
              <w:t xml:space="preserve"> 7.3]</w:t>
            </w:r>
            <w:r>
              <w:rPr>
                <w:b/>
                <w:bCs/>
              </w:rPr>
              <w:t xml:space="preserve">                               </w:t>
            </w:r>
          </w:p>
          <w:p w14:paraId="4EA3CD41" w14:textId="450C605D" w:rsidR="0012210E" w:rsidRDefault="00C402A6">
            <w:pPr>
              <w:ind w:left="84"/>
              <w:jc w:val="both"/>
              <w:rPr>
                <w:rFonts w:cs="Arial"/>
              </w:rPr>
            </w:pPr>
            <w:r>
              <w:rPr>
                <w:rFonts w:cs="Arial"/>
              </w:rPr>
              <w:t xml:space="preserve">And with full regard to </w:t>
            </w:r>
            <w:hyperlink r:id="rId22" w:history="1">
              <w:r>
                <w:rPr>
                  <w:rStyle w:val="Hyperlink"/>
                  <w:rFonts w:ascii="Rockwell Condensed" w:hAnsi="Rockwell Condensed" w:cs="Arial"/>
                </w:rPr>
                <w:t>AA</w:t>
              </w:r>
            </w:hyperlink>
            <w:r w:rsidR="00B238E1">
              <w:rPr>
                <w:rStyle w:val="Hyperlink"/>
                <w:rFonts w:ascii="Rockwell Condensed" w:hAnsi="Rockwell Condensed" w:cs="Arial"/>
              </w:rPr>
              <w:t>RA</w:t>
            </w:r>
            <w:r>
              <w:rPr>
                <w:rFonts w:cs="Arial"/>
              </w:rPr>
              <w:t xml:space="preserve"> </w:t>
            </w:r>
            <w:r>
              <w:rPr>
                <w:rFonts w:ascii="Rockwell Condensed" w:hAnsi="Rockwell Condensed" w:cs="Arial"/>
              </w:rPr>
              <w:t>7.3</w:t>
            </w:r>
            <w:r>
              <w:rPr>
                <w:rFonts w:cs="Arial"/>
                <w:i/>
              </w:rPr>
              <w:t xml:space="preserve"> Appointment of assessors </w:t>
            </w:r>
          </w:p>
        </w:tc>
      </w:tr>
    </w:tbl>
    <w:p w14:paraId="70441AAF" w14:textId="77777777" w:rsidR="0012210E" w:rsidRDefault="00C402A6">
      <w:pPr>
        <w:rPr>
          <w:b/>
          <w:szCs w:val="24"/>
        </w:rPr>
      </w:pPr>
      <w:bookmarkStart w:id="64" w:name="_Toc466921633"/>
      <w:bookmarkStart w:id="65" w:name="_Toc490083858"/>
      <w:bookmarkStart w:id="66" w:name="_Toc496088797"/>
      <w:r>
        <w:rPr>
          <w:b/>
          <w:szCs w:val="24"/>
        </w:rPr>
        <w:t>Reporting the appointment of the assessor(s)</w:t>
      </w:r>
    </w:p>
    <w:tbl>
      <w:tblPr>
        <w:tblStyle w:val="TableGrid"/>
        <w:tblW w:w="9340" w:type="dxa"/>
        <w:tblInd w:w="720" w:type="dxa"/>
        <w:tblLook w:val="04A0" w:firstRow="1" w:lastRow="0" w:firstColumn="1" w:lastColumn="0" w:noHBand="0" w:noVBand="1"/>
      </w:tblPr>
      <w:tblGrid>
        <w:gridCol w:w="9340"/>
      </w:tblGrid>
      <w:tr w:rsidR="0012210E" w14:paraId="20664EC9" w14:textId="77777777">
        <w:tc>
          <w:tcPr>
            <w:tcW w:w="9340" w:type="dxa"/>
          </w:tcPr>
          <w:p w14:paraId="7FC0A52E" w14:textId="77777777" w:rsidR="0012210E" w:rsidRDefault="00C402A6">
            <w:pPr>
              <w:spacing w:line="276" w:lineRule="auto"/>
              <w:jc w:val="both"/>
            </w:pPr>
            <w:r>
              <w:t>The location of the evidence of the assessor’s/assessors’ qualification(s):</w:t>
            </w:r>
          </w:p>
          <w:p w14:paraId="1C8DCE6C" w14:textId="689D8D21" w:rsidR="0012210E" w:rsidRDefault="00C402A6">
            <w:pPr>
              <w:spacing w:line="276" w:lineRule="auto"/>
              <w:jc w:val="both"/>
              <w:rPr>
                <w:rFonts w:cs="Arial"/>
              </w:rPr>
            </w:pPr>
            <w:r>
              <w:rPr>
                <w:rFonts w:cs="Arial"/>
              </w:rPr>
              <w:t xml:space="preserve">With full regard to </w:t>
            </w:r>
            <w:hyperlink r:id="rId23" w:history="1">
              <w:r>
                <w:rPr>
                  <w:rStyle w:val="Hyperlink"/>
                  <w:rFonts w:ascii="Rockwell Condensed" w:hAnsi="Rockwell Condensed" w:cs="Arial"/>
                </w:rPr>
                <w:t>AA</w:t>
              </w:r>
            </w:hyperlink>
            <w:r w:rsidR="00B238E1">
              <w:rPr>
                <w:rStyle w:val="Hyperlink"/>
                <w:rFonts w:ascii="Rockwell Condensed" w:hAnsi="Rockwell Condensed" w:cs="Arial"/>
              </w:rPr>
              <w:t>RA</w:t>
            </w:r>
            <w:r>
              <w:rPr>
                <w:rFonts w:cs="Arial"/>
              </w:rPr>
              <w:t xml:space="preserve"> </w:t>
            </w:r>
            <w:r>
              <w:rPr>
                <w:rFonts w:ascii="Rockwell Condensed" w:hAnsi="Rockwell Condensed" w:cs="Arial"/>
              </w:rPr>
              <w:t>7.4</w:t>
            </w:r>
            <w:r>
              <w:rPr>
                <w:rFonts w:cs="Arial"/>
                <w:i/>
              </w:rPr>
              <w:t xml:space="preserve"> Reporting the appointment of assessors </w:t>
            </w:r>
            <w:r>
              <w:rPr>
                <w:rFonts w:cs="Arial"/>
              </w:rPr>
              <w:t>and record your process that reflects the requirements, we ensure that:</w:t>
            </w:r>
          </w:p>
          <w:p w14:paraId="1036C668" w14:textId="02E997C9" w:rsidR="0012210E" w:rsidRDefault="00C402A6" w:rsidP="00AB0CD1">
            <w:pPr>
              <w:pStyle w:val="ListParagraph"/>
              <w:numPr>
                <w:ilvl w:val="0"/>
                <w:numId w:val="7"/>
              </w:numPr>
              <w:spacing w:line="276" w:lineRule="auto"/>
              <w:jc w:val="both"/>
            </w:pPr>
            <w:r>
              <w:t xml:space="preserve">Evidence is held as a paper copy in </w:t>
            </w:r>
            <w:r w:rsidR="00AB0CD1">
              <w:t>the access arrangements folder located in the exams office</w:t>
            </w:r>
          </w:p>
        </w:tc>
      </w:tr>
    </w:tbl>
    <w:p w14:paraId="0FE9480B" w14:textId="77777777" w:rsidR="0012210E" w:rsidRDefault="00C402A6">
      <w:pPr>
        <w:pStyle w:val="Headinglevel2"/>
        <w:spacing w:before="240" w:after="120" w:line="276" w:lineRule="auto"/>
      </w:pPr>
      <w:bookmarkStart w:id="67" w:name="_Toc523473888"/>
      <w:bookmarkStart w:id="68" w:name="_Toc22304704"/>
      <w:bookmarkStart w:id="69" w:name="_Toc22487032"/>
      <w:bookmarkStart w:id="70" w:name="_Toc22487151"/>
      <w:bookmarkStart w:id="71" w:name="_Toc22487626"/>
      <w:r>
        <w:t>Process for the assessment of a candidate’s learning difficulties by an assessor</w:t>
      </w:r>
      <w:bookmarkEnd w:id="67"/>
      <w:bookmarkEnd w:id="68"/>
      <w:bookmarkEnd w:id="69"/>
      <w:bookmarkEnd w:id="70"/>
      <w:bookmarkEnd w:id="71"/>
      <w:r>
        <w:t xml:space="preserve"> </w:t>
      </w:r>
    </w:p>
    <w:tbl>
      <w:tblPr>
        <w:tblStyle w:val="TableGrid"/>
        <w:tblW w:w="0" w:type="auto"/>
        <w:tblInd w:w="720" w:type="dxa"/>
        <w:tblLook w:val="04A0" w:firstRow="1" w:lastRow="0" w:firstColumn="1" w:lastColumn="0" w:noHBand="0" w:noVBand="1"/>
      </w:tblPr>
      <w:tblGrid>
        <w:gridCol w:w="9322"/>
      </w:tblGrid>
      <w:tr w:rsidR="0012210E" w14:paraId="1BE3617D" w14:textId="77777777">
        <w:tc>
          <w:tcPr>
            <w:tcW w:w="9548" w:type="dxa"/>
          </w:tcPr>
          <w:p w14:paraId="037D8B5E" w14:textId="77777777" w:rsidR="0012210E" w:rsidRDefault="00C402A6">
            <w:pPr>
              <w:spacing w:line="276" w:lineRule="auto"/>
              <w:jc w:val="both"/>
            </w:pPr>
            <w:r>
              <w:t>The process for the assessment of a candidate’s learning difficulties by an assessor is as follows:</w:t>
            </w:r>
          </w:p>
          <w:p w14:paraId="02583F90" w14:textId="77777777" w:rsidR="0012210E" w:rsidRDefault="00C402A6">
            <w:pPr>
              <w:pStyle w:val="ListParagraph"/>
              <w:numPr>
                <w:ilvl w:val="0"/>
                <w:numId w:val="8"/>
              </w:numPr>
              <w:spacing w:line="276" w:lineRule="auto"/>
              <w:jc w:val="both"/>
            </w:pPr>
            <w:r>
              <w:t xml:space="preserve">The </w:t>
            </w:r>
            <w:proofErr w:type="spellStart"/>
            <w:r>
              <w:t>SENDco</w:t>
            </w:r>
            <w:proofErr w:type="spellEnd"/>
            <w:r>
              <w:t xml:space="preserve"> in collaboration with subject specialist teaching staff, Team Leaders and the HLTA responsible for internal screening monitors and tracks students where additional arrangements may need to be made, compiling a body of evidence to demonstrate evidence of need;</w:t>
            </w:r>
          </w:p>
          <w:p w14:paraId="0E8B2373" w14:textId="77777777" w:rsidR="0012210E" w:rsidRDefault="00C402A6">
            <w:pPr>
              <w:pStyle w:val="ListParagraph"/>
              <w:numPr>
                <w:ilvl w:val="0"/>
                <w:numId w:val="8"/>
              </w:numPr>
              <w:spacing w:line="276" w:lineRule="auto"/>
              <w:jc w:val="both"/>
            </w:pPr>
            <w:r>
              <w:t xml:space="preserve">Towards the end of Year 9, students who require specialist assessment for Exam Arrangements (where this cannot be undertaken by a suitably qualified member of centre staff) will be identified by the </w:t>
            </w:r>
            <w:proofErr w:type="spellStart"/>
            <w:r>
              <w:t>SENDco</w:t>
            </w:r>
            <w:proofErr w:type="spellEnd"/>
            <w:r>
              <w:t xml:space="preserve"> and parents and students contact to obtain consent;</w:t>
            </w:r>
          </w:p>
          <w:p w14:paraId="0ADBA5BC" w14:textId="77777777" w:rsidR="0012210E" w:rsidRDefault="00C402A6">
            <w:pPr>
              <w:pStyle w:val="ListParagraph"/>
              <w:numPr>
                <w:ilvl w:val="0"/>
                <w:numId w:val="8"/>
              </w:numPr>
              <w:spacing w:line="276" w:lineRule="auto"/>
              <w:jc w:val="both"/>
            </w:pPr>
            <w:r>
              <w:rPr>
                <w:rFonts w:eastAsia="Times New Roman"/>
              </w:rPr>
              <w:t xml:space="preserve">Where a candidate has learning difficulties and is not subject to a current </w:t>
            </w:r>
            <w:r>
              <w:rPr>
                <w:rFonts w:eastAsia="Times New Roman"/>
                <w:i/>
              </w:rPr>
              <w:t>Education, Health and Care Plan</w:t>
            </w:r>
            <w:r>
              <w:rPr>
                <w:rFonts w:eastAsia="Times New Roman"/>
              </w:rPr>
              <w:t xml:space="preserve"> or </w:t>
            </w:r>
            <w:r>
              <w:rPr>
                <w:rFonts w:eastAsia="Times New Roman"/>
                <w:i/>
              </w:rPr>
              <w:t>Statement of Special Educational Needs</w:t>
            </w:r>
            <w:r>
              <w:rPr>
                <w:rFonts w:eastAsia="Times New Roman"/>
              </w:rPr>
              <w:t xml:space="preserve"> that the SENCo is painting a picture of need and demonstrating the candidate’s normal way of working and completing Part 1 of Form 8 </w:t>
            </w:r>
            <w:r>
              <w:rPr>
                <w:rFonts w:eastAsia="Times New Roman"/>
                <w:b/>
              </w:rPr>
              <w:t>prior</w:t>
            </w:r>
            <w:r>
              <w:rPr>
                <w:rFonts w:eastAsia="Times New Roman"/>
              </w:rPr>
              <w:t xml:space="preserve"> to the candidate being assessed.</w:t>
            </w:r>
          </w:p>
          <w:p w14:paraId="2771D532" w14:textId="3DC87CB9" w:rsidR="0012210E" w:rsidRDefault="00C402A6">
            <w:pPr>
              <w:pStyle w:val="ListParagraph"/>
              <w:numPr>
                <w:ilvl w:val="0"/>
                <w:numId w:val="8"/>
              </w:numPr>
              <w:spacing w:line="276" w:lineRule="auto"/>
              <w:jc w:val="both"/>
            </w:pPr>
            <w:r>
              <w:rPr>
                <w:rFonts w:cs="Arial"/>
              </w:rPr>
              <w:t xml:space="preserve">This is will full reference to </w:t>
            </w:r>
            <w:hyperlink r:id="rId24" w:history="1">
              <w:r>
                <w:rPr>
                  <w:rStyle w:val="Hyperlink"/>
                  <w:rFonts w:ascii="Rockwell Condensed" w:hAnsi="Rockwell Condensed" w:cs="Arial"/>
                </w:rPr>
                <w:t>AA</w:t>
              </w:r>
            </w:hyperlink>
            <w:r w:rsidR="00B238E1">
              <w:rPr>
                <w:rStyle w:val="Hyperlink"/>
                <w:rFonts w:ascii="Rockwell Condensed" w:hAnsi="Rockwell Condensed" w:cs="Arial"/>
              </w:rPr>
              <w:t>RA</w:t>
            </w:r>
            <w:r>
              <w:rPr>
                <w:rFonts w:cs="Arial"/>
              </w:rPr>
              <w:t xml:space="preserve"> </w:t>
            </w:r>
            <w:r>
              <w:rPr>
                <w:rFonts w:ascii="Rockwell Condensed" w:hAnsi="Rockwell Condensed" w:cs="Arial"/>
              </w:rPr>
              <w:t>7.5</w:t>
            </w:r>
            <w:r>
              <w:rPr>
                <w:rFonts w:cs="Arial"/>
                <w:i/>
              </w:rPr>
              <w:t xml:space="preserve"> Guidelines for the assessment of the candidate’s learning difficulties by an assessor </w:t>
            </w:r>
            <w:r>
              <w:rPr>
                <w:rFonts w:cs="Arial"/>
              </w:rPr>
              <w:t>and</w:t>
            </w:r>
            <w:r>
              <w:rPr>
                <w:rFonts w:cs="Arial"/>
                <w:i/>
              </w:rPr>
              <w:t xml:space="preserve"> </w:t>
            </w:r>
            <w:r>
              <w:rPr>
                <w:rFonts w:ascii="Rockwell Condensed" w:hAnsi="Rockwell Condensed" w:cs="Arial"/>
              </w:rPr>
              <w:t>7.6</w:t>
            </w:r>
            <w:r>
              <w:rPr>
                <w:rFonts w:cs="Arial"/>
                <w:i/>
              </w:rPr>
              <w:t xml:space="preserve"> Completing Form 8 – JCQ/AA/LD, Profile of Learning Difficulties </w:t>
            </w:r>
            <w:r>
              <w:rPr>
                <w:rFonts w:cs="Arial"/>
              </w:rPr>
              <w:t>;</w:t>
            </w:r>
          </w:p>
          <w:p w14:paraId="550CA5F8" w14:textId="77777777" w:rsidR="0012210E" w:rsidRDefault="00C402A6">
            <w:pPr>
              <w:pStyle w:val="ListParagraph"/>
              <w:numPr>
                <w:ilvl w:val="0"/>
                <w:numId w:val="8"/>
              </w:numPr>
              <w:spacing w:line="276" w:lineRule="auto"/>
              <w:jc w:val="both"/>
            </w:pPr>
            <w:r>
              <w:t xml:space="preserve">Assessment dates are confirmed by the </w:t>
            </w:r>
            <w:proofErr w:type="spellStart"/>
            <w:r>
              <w:t>SENDco</w:t>
            </w:r>
            <w:proofErr w:type="spellEnd"/>
            <w:r>
              <w:t xml:space="preserve"> with the external assessor, who is subject to the qualification and registration checks as outlined above;</w:t>
            </w:r>
          </w:p>
          <w:p w14:paraId="61480DE2" w14:textId="77777777" w:rsidR="0012210E" w:rsidRDefault="00C402A6">
            <w:pPr>
              <w:pStyle w:val="ListParagraph"/>
              <w:numPr>
                <w:ilvl w:val="0"/>
                <w:numId w:val="8"/>
              </w:numPr>
              <w:spacing w:line="276" w:lineRule="auto"/>
              <w:jc w:val="both"/>
            </w:pPr>
            <w:r>
              <w:t>Parents/Carers and students are contacted to ensure that consent to assess is given, and the relevant privacy/GDPR paperwork is completed;</w:t>
            </w:r>
          </w:p>
          <w:p w14:paraId="24497B6F" w14:textId="77777777" w:rsidR="0012210E" w:rsidRDefault="00C402A6">
            <w:pPr>
              <w:pStyle w:val="ListParagraph"/>
              <w:numPr>
                <w:ilvl w:val="0"/>
                <w:numId w:val="8"/>
              </w:numPr>
              <w:spacing w:line="276" w:lineRule="auto"/>
              <w:jc w:val="both"/>
            </w:pPr>
            <w:r>
              <w:t xml:space="preserve">The </w:t>
            </w:r>
            <w:proofErr w:type="spellStart"/>
            <w:r>
              <w:t>SENDco</w:t>
            </w:r>
            <w:proofErr w:type="spellEnd"/>
            <w:r>
              <w:t xml:space="preserve"> completes Part 1 of the Form 8 prior to the assessment so that the assessor has a full picture of need. The </w:t>
            </w:r>
            <w:proofErr w:type="spellStart"/>
            <w:r>
              <w:t>SENDco</w:t>
            </w:r>
            <w:proofErr w:type="spellEnd"/>
            <w:r>
              <w:t xml:space="preserve"> and/or support staff are available </w:t>
            </w:r>
            <w:r>
              <w:lastRenderedPageBreak/>
              <w:t xml:space="preserve">during the screening process to answer queries and present the students’ evidence file if requested to confirm the details on Part 1 of the Form 8. </w:t>
            </w:r>
          </w:p>
          <w:p w14:paraId="32110D1E" w14:textId="77777777" w:rsidR="0012210E" w:rsidRDefault="00C402A6">
            <w:pPr>
              <w:autoSpaceDE w:val="0"/>
              <w:autoSpaceDN w:val="0"/>
              <w:adjustRightInd w:val="0"/>
              <w:spacing w:after="0" w:line="276" w:lineRule="auto"/>
              <w:jc w:val="both"/>
              <w:rPr>
                <w:rFonts w:cs="Arial"/>
                <w:iCs/>
                <w:color w:val="595959" w:themeColor="text1" w:themeTint="A6"/>
              </w:rPr>
            </w:pPr>
            <w:r>
              <w:t>By detailing this, we confirm that</w:t>
            </w:r>
            <w:r>
              <w:rPr>
                <w:rFonts w:cs="Arial"/>
                <w:iCs/>
                <w:color w:val="595959" w:themeColor="text1" w:themeTint="A6"/>
              </w:rPr>
              <w:t xml:space="preserve"> the correct procedures are followed as per Chapter 7 of the JCQ publication </w:t>
            </w:r>
            <w:r>
              <w:rPr>
                <w:rFonts w:cs="Arial"/>
                <w:i/>
                <w:color w:val="595959" w:themeColor="text1" w:themeTint="A6"/>
              </w:rPr>
              <w:t>Access Arrangements and Reasonable Adjustments</w:t>
            </w:r>
            <w:r>
              <w:rPr>
                <w:rFonts w:cs="Arial"/>
                <w:iCs/>
                <w:color w:val="595959" w:themeColor="text1" w:themeTint="A6"/>
              </w:rPr>
              <w:t xml:space="preserve">…                                                                     </w:t>
            </w:r>
          </w:p>
          <w:p w14:paraId="53310FCA" w14:textId="77777777" w:rsidR="0012210E" w:rsidRDefault="00C402A6">
            <w:pPr>
              <w:autoSpaceDE w:val="0"/>
              <w:autoSpaceDN w:val="0"/>
              <w:adjustRightInd w:val="0"/>
              <w:spacing w:before="0" w:after="0" w:line="276" w:lineRule="auto"/>
              <w:jc w:val="right"/>
              <w:rPr>
                <w:rFonts w:ascii="Rockwell Condensed" w:hAnsi="Rockwell Condensed" w:cs="Arial"/>
                <w:sz w:val="18"/>
                <w:szCs w:val="18"/>
              </w:rPr>
            </w:pPr>
            <w:r>
              <w:rPr>
                <w:rFonts w:ascii="Rockwell Condensed" w:hAnsi="Rockwell Condensed" w:cs="Arial"/>
                <w:sz w:val="18"/>
                <w:szCs w:val="18"/>
              </w:rPr>
              <w:t>[</w:t>
            </w:r>
            <w:hyperlink r:id="rId25" w:history="1">
              <w:r>
                <w:rPr>
                  <w:rStyle w:val="Hyperlink"/>
                  <w:rFonts w:ascii="Rockwell Condensed" w:hAnsi="Rockwell Condensed" w:cs="Arial"/>
                  <w:sz w:val="18"/>
                  <w:szCs w:val="18"/>
                </w:rPr>
                <w:t>GR</w:t>
              </w:r>
            </w:hyperlink>
            <w:r>
              <w:rPr>
                <w:rFonts w:ascii="Rockwell Condensed" w:hAnsi="Rockwell Condensed" w:cs="Arial"/>
                <w:sz w:val="18"/>
                <w:szCs w:val="18"/>
              </w:rPr>
              <w:t xml:space="preserve"> 5.4]</w:t>
            </w:r>
          </w:p>
          <w:p w14:paraId="1C3794B2" w14:textId="77777777" w:rsidR="0012210E" w:rsidRDefault="00C402A6">
            <w:pPr>
              <w:autoSpaceDE w:val="0"/>
              <w:autoSpaceDN w:val="0"/>
              <w:adjustRightInd w:val="0"/>
              <w:spacing w:before="0" w:after="0" w:line="276" w:lineRule="auto"/>
              <w:rPr>
                <w:rFonts w:cs="Arial"/>
                <w:b/>
                <w:bCs/>
                <w:sz w:val="20"/>
                <w:szCs w:val="20"/>
              </w:rPr>
            </w:pPr>
            <w:r>
              <w:rPr>
                <w:rFonts w:cs="Arial"/>
                <w:b/>
                <w:bCs/>
                <w:sz w:val="20"/>
                <w:szCs w:val="20"/>
              </w:rPr>
              <w:t>Note</w:t>
            </w:r>
          </w:p>
          <w:p w14:paraId="1B50421D" w14:textId="26A6889C" w:rsidR="0012210E" w:rsidRDefault="00C402A6">
            <w:pPr>
              <w:pBdr>
                <w:left w:val="single" w:sz="8" w:space="4" w:color="FFC000"/>
              </w:pBdr>
              <w:shd w:val="clear" w:color="auto" w:fill="F2F2F2" w:themeFill="background1" w:themeFillShade="F2"/>
              <w:spacing w:before="60" w:after="0"/>
              <w:ind w:left="346" w:right="159"/>
              <w:jc w:val="both"/>
              <w:rPr>
                <w:rFonts w:cs="Arial"/>
              </w:rPr>
            </w:pPr>
            <w:r>
              <w:rPr>
                <w:rFonts w:cs="Arial"/>
                <w:color w:val="595959" w:themeColor="text1" w:themeTint="A6"/>
              </w:rPr>
              <w:t>…</w:t>
            </w:r>
            <w:r>
              <w:t xml:space="preserve"> </w:t>
            </w:r>
            <w:r>
              <w:rPr>
                <w:rFonts w:cs="Arial"/>
                <w:color w:val="595959" w:themeColor="text1" w:themeTint="A6"/>
                <w:sz w:val="18"/>
                <w:szCs w:val="18"/>
              </w:rPr>
              <w:t xml:space="preserve">SENCos and assessors working within the centre should always carefully consider any privately commissioned assessment to see whether the process of gathering a picture of need, demonstrating normal way of working within the centre and ultimately assessing the candidate themselves should be instigated.   </w:t>
            </w:r>
            <w:r>
              <w:rPr>
                <w:rFonts w:cs="Arial"/>
                <w:color w:val="595959" w:themeColor="text1" w:themeTint="A6"/>
              </w:rPr>
              <w:t xml:space="preserve">                                                                                                                                   </w:t>
            </w:r>
            <w:r>
              <w:rPr>
                <w:rFonts w:ascii="Rockwell Condensed" w:hAnsi="Rockwell Condensed" w:cs="Arial"/>
                <w:sz w:val="18"/>
                <w:szCs w:val="18"/>
              </w:rPr>
              <w:t>[</w:t>
            </w:r>
            <w:hyperlink r:id="rId26" w:history="1">
              <w:r>
                <w:rPr>
                  <w:rStyle w:val="Hyperlink"/>
                  <w:rFonts w:ascii="Rockwell Condensed" w:hAnsi="Rockwell Condensed" w:cs="Arial"/>
                  <w:sz w:val="18"/>
                  <w:szCs w:val="18"/>
                </w:rPr>
                <w:t>AA</w:t>
              </w:r>
            </w:hyperlink>
            <w:r w:rsidR="00F63094">
              <w:rPr>
                <w:rStyle w:val="Hyperlink"/>
                <w:rFonts w:ascii="Rockwell Condensed" w:hAnsi="Rockwell Condensed" w:cs="Arial"/>
                <w:sz w:val="18"/>
                <w:szCs w:val="18"/>
              </w:rPr>
              <w:t>RA</w:t>
            </w:r>
            <w:r>
              <w:rPr>
                <w:rFonts w:ascii="Rockwell Condensed" w:hAnsi="Rockwell Condensed" w:cs="Arial"/>
                <w:sz w:val="18"/>
                <w:szCs w:val="18"/>
              </w:rPr>
              <w:t xml:space="preserve"> 7.3]</w:t>
            </w:r>
            <w:r>
              <w:rPr>
                <w:b/>
                <w:bCs/>
              </w:rPr>
              <w:t xml:space="preserve">                               </w:t>
            </w:r>
          </w:p>
          <w:p w14:paraId="71051704" w14:textId="77777777" w:rsidR="0012210E" w:rsidRDefault="00C402A6">
            <w:pPr>
              <w:autoSpaceDE w:val="0"/>
              <w:autoSpaceDN w:val="0"/>
              <w:adjustRightInd w:val="0"/>
              <w:spacing w:line="276" w:lineRule="auto"/>
              <w:jc w:val="both"/>
              <w:rPr>
                <w:rFonts w:ascii="Rockwell Condensed" w:hAnsi="Rockwell Condensed" w:cs="Arial"/>
              </w:rPr>
            </w:pPr>
            <w:r>
              <w:rPr>
                <w:rFonts w:cs="Arial"/>
              </w:rPr>
              <w:t xml:space="preserve">Also detail any process (where relevant) for private candidates, distance learners and home educated students </w:t>
            </w:r>
            <w:r>
              <w:rPr>
                <w:rFonts w:cs="Arial"/>
                <w:sz w:val="20"/>
                <w:szCs w:val="20"/>
              </w:rPr>
              <w:t xml:space="preserve">(refer to the requirement in </w:t>
            </w:r>
            <w:hyperlink r:id="rId27" w:history="1">
              <w:r>
                <w:rPr>
                  <w:rStyle w:val="Hyperlink"/>
                  <w:rFonts w:ascii="Rockwell Condensed" w:hAnsi="Rockwell Condensed" w:cs="Arial"/>
                  <w:sz w:val="20"/>
                  <w:szCs w:val="20"/>
                </w:rPr>
                <w:t>GR</w:t>
              </w:r>
            </w:hyperlink>
            <w:r>
              <w:rPr>
                <w:rFonts w:ascii="Rockwell Condensed" w:hAnsi="Rockwell Condensed" w:cs="Arial"/>
                <w:sz w:val="20"/>
                <w:szCs w:val="20"/>
              </w:rPr>
              <w:t xml:space="preserve"> 5.4)</w:t>
            </w:r>
            <w:r>
              <w:rPr>
                <w:rFonts w:ascii="Rockwell Condensed" w:hAnsi="Rockwell Condensed" w:cs="Arial"/>
              </w:rPr>
              <w:t xml:space="preserve"> </w:t>
            </w:r>
          </w:p>
          <w:p w14:paraId="6B50F567" w14:textId="15824D27" w:rsidR="0012210E" w:rsidRDefault="00C402A6">
            <w:pPr>
              <w:pStyle w:val="ListParagraph"/>
              <w:numPr>
                <w:ilvl w:val="0"/>
                <w:numId w:val="9"/>
              </w:numPr>
              <w:autoSpaceDE w:val="0"/>
              <w:autoSpaceDN w:val="0"/>
              <w:adjustRightInd w:val="0"/>
              <w:spacing w:line="276" w:lineRule="auto"/>
              <w:jc w:val="both"/>
              <w:rPr>
                <w:rFonts w:cs="Arial"/>
              </w:rPr>
            </w:pPr>
            <w:r>
              <w:rPr>
                <w:rFonts w:cs="Arial"/>
              </w:rPr>
              <w:t>We currently do not have any students that use the centre privately, through distance learning or home education</w:t>
            </w:r>
            <w:r w:rsidR="00F63094">
              <w:rPr>
                <w:rFonts w:cs="Arial"/>
              </w:rPr>
              <w:t>.</w:t>
            </w:r>
            <w:r>
              <w:rPr>
                <w:rFonts w:cs="Arial"/>
              </w:rPr>
              <w:t xml:space="preserve"> </w:t>
            </w:r>
          </w:p>
        </w:tc>
      </w:tr>
    </w:tbl>
    <w:p w14:paraId="7D1FAFA1" w14:textId="7F08CE79" w:rsidR="0012210E" w:rsidRDefault="001A68B5">
      <w:pPr>
        <w:pStyle w:val="Headinglevel2"/>
        <w:spacing w:before="240" w:after="120" w:line="276" w:lineRule="auto"/>
      </w:pPr>
      <w:bookmarkStart w:id="72" w:name="_Toc443593728"/>
      <w:bookmarkStart w:id="73" w:name="_Toc466921635"/>
      <w:bookmarkStart w:id="74" w:name="_Toc490083860"/>
      <w:bookmarkStart w:id="75" w:name="_Toc496088799"/>
      <w:bookmarkStart w:id="76" w:name="_Toc523473889"/>
      <w:bookmarkStart w:id="77" w:name="_Toc22304705"/>
      <w:bookmarkStart w:id="78" w:name="_Toc22487033"/>
      <w:bookmarkStart w:id="79" w:name="_Toc22487152"/>
      <w:bookmarkStart w:id="80" w:name="_Toc22487627"/>
      <w:bookmarkEnd w:id="64"/>
      <w:bookmarkEnd w:id="65"/>
      <w:bookmarkEnd w:id="66"/>
      <w:r>
        <w:lastRenderedPageBreak/>
        <w:t xml:space="preserve">Picture of need/normal </w:t>
      </w:r>
      <w:r w:rsidR="00C402A6">
        <w:t>way of working</w:t>
      </w:r>
      <w:bookmarkEnd w:id="72"/>
      <w:bookmarkEnd w:id="73"/>
      <w:bookmarkEnd w:id="74"/>
      <w:bookmarkEnd w:id="75"/>
      <w:bookmarkEnd w:id="76"/>
      <w:bookmarkEnd w:id="77"/>
      <w:bookmarkEnd w:id="78"/>
      <w:bookmarkEnd w:id="79"/>
      <w:bookmarkEnd w:id="80"/>
    </w:p>
    <w:tbl>
      <w:tblPr>
        <w:tblStyle w:val="TableGrid"/>
        <w:tblW w:w="0" w:type="auto"/>
        <w:tblInd w:w="675" w:type="dxa"/>
        <w:tblLook w:val="04A0" w:firstRow="1" w:lastRow="0" w:firstColumn="1" w:lastColumn="0" w:noHBand="0" w:noVBand="1"/>
      </w:tblPr>
      <w:tblGrid>
        <w:gridCol w:w="9367"/>
      </w:tblGrid>
      <w:tr w:rsidR="0012210E" w14:paraId="30DA80F4" w14:textId="77777777">
        <w:tc>
          <w:tcPr>
            <w:tcW w:w="10161" w:type="dxa"/>
          </w:tcPr>
          <w:p w14:paraId="43A1AEAC" w14:textId="77777777" w:rsidR="0012210E" w:rsidRDefault="00C402A6">
            <w:pPr>
              <w:spacing w:line="276" w:lineRule="auto"/>
              <w:jc w:val="both"/>
            </w:pPr>
            <w:r>
              <w:t xml:space="preserve">The centre’s process for painting a </w:t>
            </w:r>
            <w:r>
              <w:rPr>
                <w:i/>
              </w:rPr>
              <w:t>picture of need</w:t>
            </w:r>
            <w:r>
              <w:t xml:space="preserve"> and gathering evidence to demonstrate </w:t>
            </w:r>
            <w:r>
              <w:rPr>
                <w:i/>
              </w:rPr>
              <w:t>normal way of working</w:t>
            </w:r>
            <w:r>
              <w:t xml:space="preserve"> includes but is not limited to:</w:t>
            </w:r>
          </w:p>
          <w:p w14:paraId="2CB6C7A4" w14:textId="77777777" w:rsidR="0012210E" w:rsidRDefault="00C402A6">
            <w:pPr>
              <w:pStyle w:val="ListParagraph"/>
              <w:numPr>
                <w:ilvl w:val="0"/>
                <w:numId w:val="8"/>
              </w:numPr>
              <w:spacing w:line="276" w:lineRule="auto"/>
              <w:jc w:val="both"/>
            </w:pPr>
            <w:r>
              <w:t>Seeking confirmation from teaching staff and support staff where appropriate that arrangements are made within the classroom for activities such as in class assessments and snap shots, in order to determine the ‘normal way of working’.</w:t>
            </w:r>
          </w:p>
          <w:p w14:paraId="7B15992B" w14:textId="77777777" w:rsidR="0012210E" w:rsidRDefault="00C402A6">
            <w:pPr>
              <w:pStyle w:val="ListParagraph"/>
              <w:numPr>
                <w:ilvl w:val="0"/>
                <w:numId w:val="8"/>
              </w:numPr>
              <w:spacing w:line="276" w:lineRule="auto"/>
              <w:jc w:val="both"/>
            </w:pPr>
            <w:r>
              <w:t>Consideration is given to ensuring that this picture is captured on a subject by subject basis, clarifying where an additional arrangement for a student is not necessary;</w:t>
            </w:r>
          </w:p>
          <w:p w14:paraId="06A2087A" w14:textId="77777777" w:rsidR="0012210E" w:rsidRDefault="00C402A6">
            <w:pPr>
              <w:pStyle w:val="ListParagraph"/>
              <w:numPr>
                <w:ilvl w:val="0"/>
                <w:numId w:val="8"/>
              </w:numPr>
              <w:spacing w:line="276" w:lineRule="auto"/>
              <w:jc w:val="both"/>
            </w:pPr>
            <w:r>
              <w:t xml:space="preserve">Staff within the SEND support team may gather evidence of student work, assessments or statements from staff that support the picture of need, to be stored within the student file held by the Examinations Officer. </w:t>
            </w:r>
          </w:p>
          <w:p w14:paraId="112BDB8F" w14:textId="77777777" w:rsidR="0012210E" w:rsidRDefault="00C402A6">
            <w:pPr>
              <w:pStyle w:val="ListParagraph"/>
              <w:numPr>
                <w:ilvl w:val="0"/>
                <w:numId w:val="8"/>
              </w:numPr>
              <w:spacing w:line="276" w:lineRule="auto"/>
              <w:jc w:val="both"/>
            </w:pPr>
            <w:r>
              <w:t>The Examinations Officer highlights any concerns, queries or gaps with the picture submitted and the picture of need is reviewed as necessary to ensure that it is accurate and up to date;</w:t>
            </w:r>
          </w:p>
          <w:p w14:paraId="5A92A901" w14:textId="77777777" w:rsidR="0012210E" w:rsidRDefault="00C402A6">
            <w:pPr>
              <w:spacing w:line="276" w:lineRule="auto"/>
              <w:jc w:val="both"/>
              <w:rPr>
                <w:i/>
              </w:rPr>
            </w:pPr>
            <w:r>
              <w:t xml:space="preserve">Where relevant include any additional information relating to </w:t>
            </w:r>
            <w:r>
              <w:rPr>
                <w:b/>
              </w:rPr>
              <w:t>private candidates</w:t>
            </w:r>
            <w:r>
              <w:t>.</w:t>
            </w:r>
            <w:r>
              <w:rPr>
                <w:i/>
              </w:rPr>
              <w:t xml:space="preserve"> Please see note above regarding access by private candidates at this time.</w:t>
            </w:r>
          </w:p>
          <w:p w14:paraId="476A8413" w14:textId="3AFBFBFE" w:rsidR="0012210E" w:rsidRDefault="00C402A6">
            <w:pPr>
              <w:spacing w:line="276" w:lineRule="auto"/>
              <w:jc w:val="both"/>
              <w:rPr>
                <w:i/>
              </w:rPr>
            </w:pPr>
            <w:r>
              <w:rPr>
                <w:rFonts w:cs="Arial"/>
              </w:rPr>
              <w:t xml:space="preserve">This is will full regard to </w:t>
            </w:r>
            <w:hyperlink r:id="rId28" w:history="1">
              <w:r>
                <w:rPr>
                  <w:rStyle w:val="Hyperlink"/>
                  <w:rFonts w:ascii="Rockwell Condensed" w:hAnsi="Rockwell Condensed" w:cs="Arial"/>
                </w:rPr>
                <w:t>AA</w:t>
              </w:r>
            </w:hyperlink>
            <w:r w:rsidR="00F63094">
              <w:rPr>
                <w:rStyle w:val="Hyperlink"/>
                <w:rFonts w:ascii="Rockwell Condensed" w:hAnsi="Rockwell Condensed" w:cs="Arial"/>
              </w:rPr>
              <w:t>RA</w:t>
            </w:r>
            <w:r>
              <w:rPr>
                <w:rFonts w:cs="Arial"/>
              </w:rPr>
              <w:t xml:space="preserve"> </w:t>
            </w:r>
            <w:r>
              <w:rPr>
                <w:rFonts w:ascii="Rockwell Condensed" w:hAnsi="Rockwell Condensed" w:cs="Arial"/>
              </w:rPr>
              <w:t>7.5</w:t>
            </w:r>
            <w:r>
              <w:rPr>
                <w:rFonts w:cs="Arial"/>
                <w:i/>
              </w:rPr>
              <w:t xml:space="preserve"> Guidelines for the assessment of the candidate’s learning difficulties by an assessor </w:t>
            </w:r>
            <w:r>
              <w:rPr>
                <w:rFonts w:cs="Arial"/>
              </w:rPr>
              <w:t>and</w:t>
            </w:r>
            <w:r>
              <w:rPr>
                <w:rFonts w:cs="Arial"/>
                <w:i/>
              </w:rPr>
              <w:t xml:space="preserve"> </w:t>
            </w:r>
            <w:r>
              <w:rPr>
                <w:rFonts w:ascii="Rockwell Condensed" w:hAnsi="Rockwell Condensed" w:cs="Arial"/>
              </w:rPr>
              <w:t>7.6</w:t>
            </w:r>
            <w:r>
              <w:rPr>
                <w:rFonts w:cs="Arial"/>
                <w:i/>
              </w:rPr>
              <w:t xml:space="preserve"> Completing Form 8 – JCQ/AA/LD, Profile of Learning Difficulties </w:t>
            </w:r>
            <w:r>
              <w:rPr>
                <w:rFonts w:cs="Arial"/>
              </w:rPr>
              <w:t>and record your process that reflects the requirements:</w:t>
            </w:r>
            <w:r>
              <w:rPr>
                <w:b/>
                <w:bCs/>
              </w:rPr>
              <w:t xml:space="preserve">                       </w:t>
            </w:r>
            <w:r>
              <w:rPr>
                <w:rFonts w:cs="Arial"/>
                <w:i/>
              </w:rPr>
              <w:t xml:space="preserve"> </w:t>
            </w:r>
          </w:p>
          <w:p w14:paraId="5C599847" w14:textId="77777777" w:rsidR="0012210E" w:rsidRDefault="00C402A6">
            <w:pPr>
              <w:pBdr>
                <w:left w:val="single" w:sz="8" w:space="4" w:color="FFC000"/>
              </w:pBdr>
              <w:shd w:val="clear" w:color="auto" w:fill="F2F2F2" w:themeFill="background1" w:themeFillShade="F2"/>
              <w:spacing w:before="60" w:after="0"/>
              <w:ind w:left="346" w:right="159"/>
              <w:jc w:val="both"/>
              <w:rPr>
                <w:rFonts w:cs="Arial"/>
                <w:b/>
                <w:bCs/>
                <w:color w:val="595959" w:themeColor="text1" w:themeTint="A6"/>
                <w:sz w:val="18"/>
                <w:szCs w:val="18"/>
              </w:rPr>
            </w:pPr>
            <w:r>
              <w:rPr>
                <w:rFonts w:cs="Arial"/>
                <w:b/>
                <w:bCs/>
                <w:color w:val="595959" w:themeColor="text1" w:themeTint="A6"/>
                <w:sz w:val="18"/>
                <w:szCs w:val="18"/>
                <w:u w:val="single"/>
              </w:rPr>
              <w:t>Before the candidate’s assessment</w:t>
            </w:r>
            <w:r>
              <w:rPr>
                <w:rFonts w:cs="Arial"/>
                <w:b/>
                <w:bCs/>
                <w:color w:val="595959" w:themeColor="text1" w:themeTint="A6"/>
                <w:sz w:val="18"/>
                <w:szCs w:val="18"/>
              </w:rPr>
              <w:t xml:space="preserve">, the SENCo </w:t>
            </w:r>
            <w:r>
              <w:rPr>
                <w:rFonts w:cs="Arial"/>
                <w:b/>
                <w:bCs/>
                <w:color w:val="595959" w:themeColor="text1" w:themeTint="A6"/>
                <w:sz w:val="18"/>
                <w:szCs w:val="18"/>
                <w:u w:val="single"/>
              </w:rPr>
              <w:t>must</w:t>
            </w:r>
            <w:r>
              <w:rPr>
                <w:rFonts w:cs="Arial"/>
                <w:b/>
                <w:bCs/>
                <w:color w:val="595959" w:themeColor="text1" w:themeTint="A6"/>
                <w:sz w:val="18"/>
                <w:szCs w:val="18"/>
              </w:rPr>
              <w:t xml:space="preserve"> provide the assessor with background information, i.e. a picture of need has been painted as required in Part 1 of Form 8. </w:t>
            </w:r>
            <w:r>
              <w:rPr>
                <w:rFonts w:cs="Arial"/>
                <w:b/>
                <w:bCs/>
                <w:color w:val="595959" w:themeColor="text1" w:themeTint="A6"/>
                <w:sz w:val="18"/>
                <w:szCs w:val="18"/>
                <w:u w:val="single"/>
              </w:rPr>
              <w:t>The SENCo and the assessor must work together to ensure a joined-up and consistent process</w:t>
            </w:r>
            <w:r>
              <w:rPr>
                <w:rFonts w:cs="Arial"/>
                <w:color w:val="595959" w:themeColor="text1" w:themeTint="A6"/>
                <w:sz w:val="18"/>
                <w:szCs w:val="18"/>
              </w:rPr>
              <w:t>…</w:t>
            </w:r>
          </w:p>
          <w:p w14:paraId="7433D1A7" w14:textId="77777777" w:rsidR="0012210E" w:rsidRDefault="00C402A6">
            <w:pPr>
              <w:pBdr>
                <w:left w:val="single" w:sz="8" w:space="4" w:color="FFC000"/>
              </w:pBdr>
              <w:shd w:val="clear" w:color="auto" w:fill="F2F2F2" w:themeFill="background1" w:themeFillShade="F2"/>
              <w:spacing w:before="60" w:after="0"/>
              <w:ind w:left="346" w:right="159"/>
              <w:jc w:val="both"/>
              <w:rPr>
                <w:rFonts w:cs="Arial"/>
                <w:b/>
                <w:bCs/>
                <w:color w:val="595959" w:themeColor="text1" w:themeTint="A6"/>
                <w:sz w:val="18"/>
                <w:szCs w:val="18"/>
              </w:rPr>
            </w:pPr>
            <w:r>
              <w:rPr>
                <w:rFonts w:cs="Arial"/>
                <w:b/>
                <w:bCs/>
                <w:color w:val="595959" w:themeColor="text1" w:themeTint="A6"/>
                <w:sz w:val="18"/>
                <w:szCs w:val="18"/>
              </w:rPr>
              <w:t xml:space="preserve">An independent assessor </w:t>
            </w:r>
            <w:r>
              <w:rPr>
                <w:rFonts w:cs="Arial"/>
                <w:b/>
                <w:bCs/>
                <w:color w:val="595959" w:themeColor="text1" w:themeTint="A6"/>
                <w:sz w:val="18"/>
                <w:szCs w:val="18"/>
                <w:u w:val="single"/>
              </w:rPr>
              <w:t>must</w:t>
            </w:r>
            <w:r>
              <w:rPr>
                <w:rFonts w:cs="Arial"/>
                <w:b/>
                <w:bCs/>
                <w:color w:val="595959" w:themeColor="text1" w:themeTint="A6"/>
                <w:sz w:val="18"/>
                <w:szCs w:val="18"/>
              </w:rPr>
              <w:t xml:space="preserve"> contact the centre and ask for evidence of the candidate’s normal way of working and relevant background information.  </w:t>
            </w:r>
            <w:r>
              <w:rPr>
                <w:rFonts w:cs="Arial"/>
                <w:b/>
                <w:bCs/>
                <w:color w:val="595959" w:themeColor="text1" w:themeTint="A6"/>
                <w:sz w:val="18"/>
                <w:szCs w:val="18"/>
                <w:u w:val="single"/>
              </w:rPr>
              <w:t>This must take place before the candidate is assessed</w:t>
            </w:r>
            <w:r>
              <w:rPr>
                <w:rFonts w:cs="Arial"/>
                <w:b/>
                <w:bCs/>
                <w:color w:val="595959" w:themeColor="text1" w:themeTint="A6"/>
                <w:sz w:val="18"/>
                <w:szCs w:val="18"/>
              </w:rPr>
              <w:t>. Additionally, the independent assessor must be approved by the head of centre to assess the candidate.</w:t>
            </w:r>
          </w:p>
          <w:p w14:paraId="02FEE929" w14:textId="77777777" w:rsidR="0012210E" w:rsidRDefault="00C402A6">
            <w:pPr>
              <w:pBdr>
                <w:left w:val="single" w:sz="8" w:space="4" w:color="FFC000"/>
              </w:pBdr>
              <w:shd w:val="clear" w:color="auto" w:fill="F2F2F2" w:themeFill="background1" w:themeFillShade="F2"/>
              <w:spacing w:before="60" w:after="0"/>
              <w:ind w:left="346" w:right="159"/>
              <w:jc w:val="both"/>
              <w:rPr>
                <w:rFonts w:cs="Arial"/>
                <w:b/>
                <w:bCs/>
                <w:color w:val="595959" w:themeColor="text1" w:themeTint="A6"/>
                <w:sz w:val="18"/>
                <w:szCs w:val="18"/>
              </w:rPr>
            </w:pPr>
            <w:r>
              <w:rPr>
                <w:rFonts w:cs="Arial"/>
                <w:b/>
                <w:bCs/>
                <w:color w:val="595959" w:themeColor="text1" w:themeTint="A6"/>
                <w:sz w:val="18"/>
                <w:szCs w:val="18"/>
              </w:rPr>
              <w:t xml:space="preserve">All candidates </w:t>
            </w:r>
            <w:r>
              <w:rPr>
                <w:rFonts w:cs="Arial"/>
                <w:b/>
                <w:bCs/>
                <w:color w:val="595959" w:themeColor="text1" w:themeTint="A6"/>
                <w:sz w:val="18"/>
                <w:szCs w:val="18"/>
                <w:u w:val="single"/>
              </w:rPr>
              <w:t>must</w:t>
            </w:r>
            <w:r>
              <w:rPr>
                <w:rFonts w:cs="Arial"/>
                <w:b/>
                <w:bCs/>
                <w:color w:val="595959" w:themeColor="text1" w:themeTint="A6"/>
                <w:sz w:val="18"/>
                <w:szCs w:val="18"/>
              </w:rPr>
              <w:t xml:space="preserve"> be assessed in light of the picture of need and the background information as detailed within Part 1 of Form 8. </w:t>
            </w:r>
          </w:p>
          <w:p w14:paraId="1F19839B" w14:textId="00F3DF28" w:rsidR="0012210E" w:rsidRPr="002F6894" w:rsidRDefault="00C402A6" w:rsidP="002F6894">
            <w:pPr>
              <w:pBdr>
                <w:left w:val="single" w:sz="8" w:space="4" w:color="FFC000"/>
              </w:pBdr>
              <w:shd w:val="clear" w:color="auto" w:fill="F2F2F2" w:themeFill="background1" w:themeFillShade="F2"/>
              <w:spacing w:before="60" w:after="0"/>
              <w:ind w:left="346" w:right="159"/>
              <w:jc w:val="both"/>
              <w:rPr>
                <w:rFonts w:cs="Arial"/>
                <w:b/>
                <w:bCs/>
                <w:color w:val="595959" w:themeColor="text1" w:themeTint="A6"/>
                <w:sz w:val="18"/>
                <w:szCs w:val="18"/>
                <w:highlight w:val="yellow"/>
              </w:rPr>
            </w:pPr>
            <w:r>
              <w:rPr>
                <w:rFonts w:cs="Arial"/>
                <w:b/>
                <w:bCs/>
                <w:color w:val="595959" w:themeColor="text1" w:themeTint="A6"/>
                <w:sz w:val="18"/>
                <w:szCs w:val="18"/>
              </w:rPr>
              <w:t xml:space="preserve">An independent assessor </w:t>
            </w:r>
            <w:r>
              <w:rPr>
                <w:rFonts w:cs="Arial"/>
                <w:b/>
                <w:bCs/>
                <w:color w:val="595959" w:themeColor="text1" w:themeTint="A6"/>
                <w:sz w:val="18"/>
                <w:szCs w:val="18"/>
                <w:u w:val="single"/>
              </w:rPr>
              <w:t>must</w:t>
            </w:r>
            <w:r>
              <w:rPr>
                <w:rFonts w:cs="Arial"/>
                <w:b/>
                <w:bCs/>
                <w:color w:val="595959" w:themeColor="text1" w:themeTint="A6"/>
                <w:sz w:val="18"/>
                <w:szCs w:val="18"/>
              </w:rPr>
              <w:t xml:space="preserve"> discuss access arrangements/reasonable adjustments with the SENCo.  </w:t>
            </w:r>
            <w:r>
              <w:rPr>
                <w:rFonts w:cs="Arial"/>
                <w:b/>
                <w:bCs/>
                <w:color w:val="595959" w:themeColor="text1" w:themeTint="A6"/>
                <w:sz w:val="18"/>
                <w:szCs w:val="18"/>
                <w:u w:val="single"/>
              </w:rPr>
              <w:t>The responsibility to determine and request appropriate and practicable access arrangements specifically lies with the SENCo</w:t>
            </w:r>
            <w:r>
              <w:rPr>
                <w:rFonts w:cs="Arial"/>
                <w:color w:val="595959" w:themeColor="text1" w:themeTint="A6"/>
                <w:sz w:val="18"/>
                <w:szCs w:val="18"/>
              </w:rPr>
              <w:t xml:space="preserve">… </w:t>
            </w:r>
            <w:r>
              <w:rPr>
                <w:rFonts w:cs="Arial"/>
                <w:b/>
                <w:bCs/>
                <w:color w:val="595959" w:themeColor="text1" w:themeTint="A6"/>
                <w:sz w:val="18"/>
                <w:szCs w:val="18"/>
              </w:rPr>
              <w:t xml:space="preserve"> </w:t>
            </w:r>
            <w:r>
              <w:rPr>
                <w:rFonts w:cs="Arial"/>
                <w:color w:val="595959" w:themeColor="text1" w:themeTint="A6"/>
              </w:rPr>
              <w:t xml:space="preserve">                                        </w:t>
            </w:r>
            <w:r>
              <w:rPr>
                <w:rFonts w:ascii="Rockwell Condensed" w:hAnsi="Rockwell Condensed" w:cs="Arial"/>
                <w:sz w:val="18"/>
                <w:szCs w:val="18"/>
              </w:rPr>
              <w:t>[</w:t>
            </w:r>
            <w:hyperlink r:id="rId29" w:history="1">
              <w:r>
                <w:rPr>
                  <w:rStyle w:val="Hyperlink"/>
                  <w:rFonts w:ascii="Rockwell Condensed" w:hAnsi="Rockwell Condensed" w:cs="Arial"/>
                  <w:sz w:val="18"/>
                  <w:szCs w:val="18"/>
                </w:rPr>
                <w:t>AA</w:t>
              </w:r>
            </w:hyperlink>
            <w:r w:rsidR="00F63094">
              <w:rPr>
                <w:rStyle w:val="Hyperlink"/>
                <w:rFonts w:ascii="Rockwell Condensed" w:hAnsi="Rockwell Condensed" w:cs="Arial"/>
                <w:sz w:val="18"/>
                <w:szCs w:val="18"/>
              </w:rPr>
              <w:t>RA</w:t>
            </w:r>
            <w:r>
              <w:rPr>
                <w:rFonts w:ascii="Rockwell Condensed" w:hAnsi="Rockwell Condensed" w:cs="Arial"/>
                <w:sz w:val="18"/>
                <w:szCs w:val="18"/>
              </w:rPr>
              <w:t xml:space="preserve"> 7.5]</w:t>
            </w:r>
            <w:r>
              <w:rPr>
                <w:b/>
                <w:bCs/>
              </w:rPr>
              <w:t xml:space="preserve">                               </w:t>
            </w:r>
            <w:r>
              <w:rPr>
                <w:rFonts w:cs="Arial"/>
                <w:color w:val="595959" w:themeColor="text1" w:themeTint="A6"/>
              </w:rPr>
              <w:t xml:space="preserve">                                                        </w:t>
            </w:r>
          </w:p>
        </w:tc>
      </w:tr>
    </w:tbl>
    <w:p w14:paraId="4991EF50" w14:textId="77777777" w:rsidR="0012210E" w:rsidRDefault="00C402A6">
      <w:pPr>
        <w:pStyle w:val="Headinglevel1"/>
        <w:spacing w:before="240"/>
      </w:pPr>
      <w:bookmarkStart w:id="81" w:name="_Toc466921636"/>
      <w:bookmarkStart w:id="82" w:name="_Toc490083861"/>
      <w:bookmarkStart w:id="83" w:name="_Toc496088800"/>
      <w:bookmarkStart w:id="84" w:name="_Toc523473890"/>
      <w:bookmarkStart w:id="85" w:name="_Toc22304706"/>
      <w:bookmarkStart w:id="86" w:name="_Toc22487034"/>
      <w:bookmarkStart w:id="87" w:name="_Toc22487153"/>
      <w:bookmarkStart w:id="88" w:name="_Toc22487628"/>
      <w:r>
        <w:t>Processing access arrangements</w:t>
      </w:r>
      <w:bookmarkEnd w:id="81"/>
      <w:bookmarkEnd w:id="82"/>
      <w:bookmarkEnd w:id="83"/>
      <w:bookmarkEnd w:id="84"/>
      <w:bookmarkEnd w:id="85"/>
      <w:bookmarkEnd w:id="86"/>
      <w:bookmarkEnd w:id="87"/>
      <w:bookmarkEnd w:id="88"/>
      <w:r>
        <w:t xml:space="preserve"> and adjustments</w:t>
      </w:r>
    </w:p>
    <w:p w14:paraId="7E96AA03" w14:textId="77777777" w:rsidR="0012210E" w:rsidRDefault="00C402A6">
      <w:pPr>
        <w:pStyle w:val="Headinglevel2"/>
        <w:spacing w:before="0"/>
      </w:pPr>
      <w:bookmarkStart w:id="89" w:name="_Toc496088801"/>
      <w:bookmarkStart w:id="90" w:name="_Toc523473891"/>
      <w:bookmarkStart w:id="91" w:name="_Toc22304707"/>
      <w:bookmarkStart w:id="92" w:name="_Toc22487035"/>
      <w:bookmarkStart w:id="93" w:name="_Toc22487154"/>
      <w:bookmarkStart w:id="94" w:name="_Toc22487629"/>
      <w:r>
        <w:lastRenderedPageBreak/>
        <w:t>Arrangements/adjustments requiring awarding body approval</w:t>
      </w:r>
      <w:bookmarkEnd w:id="89"/>
      <w:bookmarkEnd w:id="90"/>
      <w:bookmarkEnd w:id="91"/>
      <w:bookmarkEnd w:id="92"/>
      <w:bookmarkEnd w:id="93"/>
      <w:bookmarkEnd w:id="94"/>
    </w:p>
    <w:p w14:paraId="7505246E" w14:textId="1D37E555" w:rsidR="0012210E" w:rsidRDefault="00C402A6">
      <w:pPr>
        <w:autoSpaceDE w:val="0"/>
        <w:autoSpaceDN w:val="0"/>
        <w:adjustRightInd w:val="0"/>
        <w:spacing w:line="276" w:lineRule="auto"/>
        <w:jc w:val="both"/>
        <w:rPr>
          <w:rFonts w:cs="Arial"/>
          <w:szCs w:val="24"/>
        </w:rPr>
      </w:pPr>
      <w:r>
        <w:rPr>
          <w:b/>
          <w:bCs/>
          <w:iCs/>
          <w:szCs w:val="24"/>
        </w:rPr>
        <w:t>Access arrangements online</w:t>
      </w:r>
      <w:r>
        <w:rPr>
          <w:szCs w:val="24"/>
        </w:rPr>
        <w:t xml:space="preserve"> (AAO) is </w:t>
      </w:r>
      <w:r>
        <w:rPr>
          <w:rFonts w:cs="Arial"/>
          <w:szCs w:val="24"/>
        </w:rPr>
        <w:t>a tool provided by JCQ member awarding bodies for centres to apply for required access arrangement approval for the qualifications covered by the tool.</w:t>
      </w:r>
      <w:r>
        <w:rPr>
          <w:szCs w:val="24"/>
        </w:rPr>
        <w:t xml:space="preserve"> </w:t>
      </w:r>
      <w:r>
        <w:rPr>
          <w:rFonts w:cs="Arial"/>
          <w:szCs w:val="24"/>
        </w:rPr>
        <w:t>This tool also provides the facility to order modified papers for those qualifications included.  (Refer to AA</w:t>
      </w:r>
      <w:r w:rsidR="00F63094">
        <w:rPr>
          <w:rFonts w:cs="Arial"/>
          <w:szCs w:val="24"/>
        </w:rPr>
        <w:t>RA</w:t>
      </w:r>
      <w:r>
        <w:rPr>
          <w:rFonts w:cs="Arial"/>
          <w:szCs w:val="24"/>
        </w:rPr>
        <w:t xml:space="preserve"> (chapter 8) Processing applications for access arrangements and (chapter 6) Modified papers)</w:t>
      </w:r>
    </w:p>
    <w:p w14:paraId="61538D2A" w14:textId="3ECAD3B6" w:rsidR="0012210E" w:rsidRDefault="00C402A6">
      <w:pPr>
        <w:autoSpaceDE w:val="0"/>
        <w:autoSpaceDN w:val="0"/>
        <w:adjustRightInd w:val="0"/>
        <w:spacing w:line="276" w:lineRule="auto"/>
        <w:jc w:val="both"/>
        <w:rPr>
          <w:szCs w:val="24"/>
        </w:rPr>
      </w:pPr>
      <w:r>
        <w:rPr>
          <w:szCs w:val="24"/>
        </w:rPr>
        <w:t xml:space="preserve">AAO is accessed within the JCQ Centre Admin Portal (CAP) </w:t>
      </w:r>
      <w:r w:rsidR="00F63094">
        <w:rPr>
          <w:szCs w:val="24"/>
        </w:rPr>
        <w:t>using any of</w:t>
      </w:r>
      <w:r>
        <w:rPr>
          <w:szCs w:val="24"/>
        </w:rPr>
        <w:t xml:space="preserve"> the awarding body secure extranet sites. A single application for approval is required for each candidate regardless of the awarding body used. </w:t>
      </w:r>
    </w:p>
    <w:p w14:paraId="0628C47D" w14:textId="5F16EE74" w:rsidR="00F63094" w:rsidRDefault="00F63094">
      <w:pPr>
        <w:autoSpaceDE w:val="0"/>
        <w:autoSpaceDN w:val="0"/>
        <w:adjustRightInd w:val="0"/>
        <w:spacing w:line="276" w:lineRule="auto"/>
        <w:jc w:val="both"/>
        <w:rPr>
          <w:szCs w:val="24"/>
        </w:rPr>
      </w:pPr>
      <w:r>
        <w:rPr>
          <w:szCs w:val="24"/>
        </w:rPr>
        <w:t>Online applications must only be processed where they are supported by the centre and the candidate meets the published criteria for the arrangement(s) with the full supporting evidence in place. (AARA 8 Summary)</w:t>
      </w:r>
    </w:p>
    <w:tbl>
      <w:tblPr>
        <w:tblStyle w:val="TableGrid"/>
        <w:tblW w:w="0" w:type="auto"/>
        <w:tblInd w:w="720" w:type="dxa"/>
        <w:tblLook w:val="04A0" w:firstRow="1" w:lastRow="0" w:firstColumn="1" w:lastColumn="0" w:noHBand="0" w:noVBand="1"/>
      </w:tblPr>
      <w:tblGrid>
        <w:gridCol w:w="9322"/>
      </w:tblGrid>
      <w:tr w:rsidR="0012210E" w14:paraId="5661A3EC" w14:textId="77777777">
        <w:tc>
          <w:tcPr>
            <w:tcW w:w="10836" w:type="dxa"/>
          </w:tcPr>
          <w:p w14:paraId="5D5B722D" w14:textId="77777777" w:rsidR="0012210E" w:rsidRDefault="00C402A6">
            <w:pPr>
              <w:spacing w:line="276" w:lineRule="auto"/>
              <w:jc w:val="both"/>
            </w:pPr>
            <w:r>
              <w:t>Information relating to the centre’s processes for using AAO:</w:t>
            </w:r>
          </w:p>
          <w:p w14:paraId="18381419" w14:textId="1BA3B07A" w:rsidR="0012210E" w:rsidRDefault="00C402A6">
            <w:pPr>
              <w:spacing w:line="276" w:lineRule="auto"/>
              <w:jc w:val="both"/>
            </w:pPr>
            <w:r>
              <w:rPr>
                <w:rFonts w:cs="Arial"/>
              </w:rPr>
              <w:t xml:space="preserve">With regards to </w:t>
            </w:r>
            <w:hyperlink r:id="rId30" w:history="1">
              <w:r>
                <w:rPr>
                  <w:rStyle w:val="Hyperlink"/>
                  <w:rFonts w:ascii="Rockwell Condensed" w:hAnsi="Rockwell Condensed" w:cs="Arial"/>
                </w:rPr>
                <w:t>AA</w:t>
              </w:r>
            </w:hyperlink>
            <w:r w:rsidR="00F63094">
              <w:rPr>
                <w:rStyle w:val="Hyperlink"/>
                <w:rFonts w:ascii="Rockwell Condensed" w:hAnsi="Rockwell Condensed" w:cs="Arial"/>
              </w:rPr>
              <w:t>RA</w:t>
            </w:r>
            <w:r>
              <w:rPr>
                <w:rFonts w:ascii="Rockwell Condensed" w:hAnsi="Rockwell Condensed"/>
              </w:rPr>
              <w:t xml:space="preserve"> 8</w:t>
            </w:r>
            <w:r>
              <w:t xml:space="preserve"> </w:t>
            </w:r>
            <w:r>
              <w:rPr>
                <w:i/>
              </w:rPr>
              <w:t xml:space="preserve">Processing applications for access arrangements </w:t>
            </w:r>
            <w:r>
              <w:rPr>
                <w:rFonts w:cs="Arial"/>
              </w:rPr>
              <w:t>and record your process that reflects the requirements:</w:t>
            </w:r>
            <w:r>
              <w:rPr>
                <w:b/>
                <w:bCs/>
              </w:rPr>
              <w:t xml:space="preserve">                      </w:t>
            </w:r>
            <w:r>
              <w:rPr>
                <w:rFonts w:cs="Arial"/>
                <w:i/>
              </w:rPr>
              <w:t xml:space="preserve"> </w:t>
            </w:r>
          </w:p>
          <w:p w14:paraId="3A67BE33" w14:textId="3853171F" w:rsidR="0012210E" w:rsidRDefault="00C402A6">
            <w:pPr>
              <w:pBdr>
                <w:left w:val="single" w:sz="8" w:space="4" w:color="FFC000"/>
              </w:pBdr>
              <w:shd w:val="clear" w:color="auto" w:fill="F2F2F2" w:themeFill="background1" w:themeFillShade="F2"/>
              <w:spacing w:before="60" w:after="0"/>
              <w:ind w:left="346" w:right="159"/>
              <w:jc w:val="both"/>
              <w:rPr>
                <w:rFonts w:cs="Arial"/>
                <w:b/>
                <w:bCs/>
                <w:color w:val="595959" w:themeColor="text1" w:themeTint="A6"/>
                <w:sz w:val="18"/>
                <w:szCs w:val="18"/>
              </w:rPr>
            </w:pPr>
            <w:r>
              <w:rPr>
                <w:rFonts w:cs="Arial"/>
                <w:b/>
                <w:bCs/>
                <w:color w:val="595959" w:themeColor="text1" w:themeTint="A6"/>
                <w:sz w:val="18"/>
                <w:szCs w:val="18"/>
              </w:rPr>
              <w:t xml:space="preserve">The SENCo </w:t>
            </w:r>
            <w:r>
              <w:rPr>
                <w:rFonts w:cs="Arial"/>
                <w:b/>
                <w:bCs/>
                <w:color w:val="595959" w:themeColor="text1" w:themeTint="A6"/>
                <w:sz w:val="18"/>
                <w:szCs w:val="18"/>
                <w:u w:val="single"/>
              </w:rPr>
              <w:t>must</w:t>
            </w:r>
            <w:r>
              <w:rPr>
                <w:rFonts w:cs="Arial"/>
                <w:b/>
                <w:bCs/>
                <w:color w:val="595959" w:themeColor="text1" w:themeTint="A6"/>
                <w:sz w:val="18"/>
                <w:szCs w:val="18"/>
              </w:rPr>
              <w:t xml:space="preserve"> keep detailed records, whether electronically or in hard copy paper format, of all the essential information on file</w:t>
            </w:r>
            <w:r>
              <w:rPr>
                <w:rFonts w:cs="Arial"/>
                <w:color w:val="595959" w:themeColor="text1" w:themeTint="A6"/>
                <w:sz w:val="18"/>
                <w:szCs w:val="18"/>
              </w:rPr>
              <w:t xml:space="preserve">. This includes a copy of the candidate's approved application, appropriate evidence of need (where required) </w:t>
            </w:r>
            <w:r>
              <w:rPr>
                <w:rFonts w:cs="Arial"/>
                <w:b/>
                <w:bCs/>
                <w:color w:val="595959" w:themeColor="text1" w:themeTint="A6"/>
                <w:sz w:val="18"/>
                <w:szCs w:val="18"/>
                <w:u w:val="single"/>
              </w:rPr>
              <w:t>and</w:t>
            </w:r>
            <w:r>
              <w:rPr>
                <w:rFonts w:cs="Arial"/>
                <w:color w:val="595959" w:themeColor="text1" w:themeTint="A6"/>
                <w:sz w:val="18"/>
                <w:szCs w:val="18"/>
              </w:rPr>
              <w:t xml:space="preserve"> a signed candidate personal data consent form for inspection by the JCQ Centre Inspection Service.</w:t>
            </w:r>
            <w:r>
              <w:rPr>
                <w:rFonts w:cs="Arial"/>
                <w:color w:val="595959" w:themeColor="text1" w:themeTint="A6"/>
              </w:rPr>
              <w:t xml:space="preserve">                                                                       </w:t>
            </w:r>
            <w:r>
              <w:rPr>
                <w:rFonts w:ascii="Rockwell Condensed" w:hAnsi="Rockwell Condensed" w:cs="Arial"/>
                <w:sz w:val="18"/>
                <w:szCs w:val="18"/>
              </w:rPr>
              <w:t>[</w:t>
            </w:r>
            <w:hyperlink r:id="rId31" w:history="1">
              <w:r>
                <w:rPr>
                  <w:rStyle w:val="Hyperlink"/>
                  <w:rFonts w:ascii="Rockwell Condensed" w:hAnsi="Rockwell Condensed" w:cs="Arial"/>
                  <w:sz w:val="18"/>
                  <w:szCs w:val="18"/>
                </w:rPr>
                <w:t>AA</w:t>
              </w:r>
            </w:hyperlink>
            <w:r w:rsidR="00F63094">
              <w:rPr>
                <w:rStyle w:val="Hyperlink"/>
                <w:rFonts w:ascii="Rockwell Condensed" w:hAnsi="Rockwell Condensed" w:cs="Arial"/>
                <w:sz w:val="18"/>
                <w:szCs w:val="18"/>
              </w:rPr>
              <w:t>RA</w:t>
            </w:r>
            <w:r>
              <w:rPr>
                <w:rFonts w:ascii="Rockwell Condensed" w:hAnsi="Rockwell Condensed" w:cs="Arial"/>
                <w:sz w:val="18"/>
                <w:szCs w:val="18"/>
              </w:rPr>
              <w:t xml:space="preserve"> 8.6]</w:t>
            </w:r>
            <w:r>
              <w:rPr>
                <w:b/>
                <w:bCs/>
              </w:rPr>
              <w:t xml:space="preserve">                               </w:t>
            </w:r>
            <w:r>
              <w:rPr>
                <w:rFonts w:cs="Arial"/>
                <w:color w:val="595959" w:themeColor="text1" w:themeTint="A6"/>
              </w:rPr>
              <w:t xml:space="preserve">                                                        </w:t>
            </w:r>
          </w:p>
          <w:p w14:paraId="38F8906E" w14:textId="25A5DA77" w:rsidR="0012210E" w:rsidRDefault="00C402A6">
            <w:pPr>
              <w:pStyle w:val="ListParagraph"/>
              <w:numPr>
                <w:ilvl w:val="0"/>
                <w:numId w:val="10"/>
              </w:numPr>
              <w:spacing w:line="276" w:lineRule="auto"/>
              <w:jc w:val="both"/>
            </w:pPr>
            <w:r>
              <w:t xml:space="preserve">Applications are submitted by the Examinations Officer (EO), as soon as is practicable after the external assessment and when the EO and </w:t>
            </w:r>
            <w:proofErr w:type="spellStart"/>
            <w:r>
              <w:t>SENDco</w:t>
            </w:r>
            <w:proofErr w:type="spellEnd"/>
            <w:r>
              <w:t xml:space="preserve"> are satisfied that a complete and robust application is able to be made;</w:t>
            </w:r>
          </w:p>
          <w:p w14:paraId="66BADD3F" w14:textId="0B205C37" w:rsidR="00E55446" w:rsidRDefault="00E55446">
            <w:pPr>
              <w:pStyle w:val="ListParagraph"/>
              <w:numPr>
                <w:ilvl w:val="0"/>
                <w:numId w:val="10"/>
              </w:numPr>
              <w:spacing w:line="276" w:lineRule="auto"/>
              <w:jc w:val="both"/>
            </w:pPr>
            <w:r>
              <w:t>Candidates are informed that an application for access arrangements will be processed using Access arrangements online, complying with the UK GDPR and the Data Protection Act 2018.</w:t>
            </w:r>
          </w:p>
          <w:p w14:paraId="32C9A700" w14:textId="77777777" w:rsidR="0012210E" w:rsidRDefault="00C402A6">
            <w:pPr>
              <w:pStyle w:val="ListParagraph"/>
              <w:numPr>
                <w:ilvl w:val="0"/>
                <w:numId w:val="10"/>
              </w:numPr>
              <w:spacing w:line="276" w:lineRule="auto"/>
              <w:jc w:val="both"/>
            </w:pPr>
            <w:r>
              <w:t>All information relating to a students’ application is kept in paper copy, held securely in the Examinations Office, and available for scrutiny at any time;</w:t>
            </w:r>
          </w:p>
          <w:p w14:paraId="7D187912" w14:textId="77777777" w:rsidR="0012210E" w:rsidRDefault="00C402A6">
            <w:pPr>
              <w:pStyle w:val="ListParagraph"/>
              <w:numPr>
                <w:ilvl w:val="0"/>
                <w:numId w:val="10"/>
              </w:numPr>
              <w:spacing w:line="276" w:lineRule="auto"/>
              <w:jc w:val="both"/>
            </w:pPr>
            <w:r>
              <w:t xml:space="preserve">Where cases do not gain approval or where the Examinations Officer has raised a query prior to the application using AAO, the EO and the </w:t>
            </w:r>
            <w:proofErr w:type="spellStart"/>
            <w:r>
              <w:t>SENDco</w:t>
            </w:r>
            <w:proofErr w:type="spellEnd"/>
            <w:r>
              <w:t xml:space="preserve"> will discuss the case and if required, seek further information from staff and/or consult with the external assessor for professional guidance. </w:t>
            </w:r>
          </w:p>
          <w:p w14:paraId="2EE9B215" w14:textId="4DC85AE7" w:rsidR="0083050E" w:rsidRDefault="00C402A6" w:rsidP="00E55446">
            <w:pPr>
              <w:pStyle w:val="ListParagraph"/>
              <w:numPr>
                <w:ilvl w:val="0"/>
                <w:numId w:val="10"/>
              </w:numPr>
              <w:spacing w:line="276" w:lineRule="auto"/>
              <w:jc w:val="both"/>
            </w:pPr>
            <w:r>
              <w:t xml:space="preserve">Students, parents/carers and staff are made aware of the outcome of an assessment application and any follow up and/or ongoing actions that need to be made. </w:t>
            </w:r>
          </w:p>
        </w:tc>
      </w:tr>
    </w:tbl>
    <w:p w14:paraId="7ADA7BD5" w14:textId="77777777" w:rsidR="0012210E" w:rsidRDefault="00C402A6">
      <w:pPr>
        <w:pStyle w:val="Headinglevel1"/>
        <w:spacing w:before="240" w:line="276" w:lineRule="auto"/>
      </w:pPr>
      <w:bookmarkStart w:id="95" w:name="_Toc490083863"/>
      <w:bookmarkStart w:id="96" w:name="_Toc496088803"/>
      <w:bookmarkStart w:id="97" w:name="_Toc523473893"/>
      <w:bookmarkStart w:id="98" w:name="_Toc22304709"/>
      <w:bookmarkStart w:id="99" w:name="_Toc22487037"/>
      <w:bookmarkStart w:id="100" w:name="_Toc22487156"/>
      <w:bookmarkStart w:id="101" w:name="_Toc22487631"/>
      <w:bookmarkStart w:id="102" w:name="_Toc443593730"/>
      <w:bookmarkStart w:id="103" w:name="_Toc466921638"/>
      <w:bookmarkStart w:id="104" w:name="_Toc449469100"/>
      <w:r>
        <w:t>Centre-specific criteria for particular access arrangements</w:t>
      </w:r>
      <w:bookmarkEnd w:id="95"/>
      <w:bookmarkEnd w:id="96"/>
      <w:bookmarkEnd w:id="97"/>
      <w:bookmarkEnd w:id="98"/>
      <w:bookmarkEnd w:id="99"/>
      <w:bookmarkEnd w:id="100"/>
      <w:bookmarkEnd w:id="101"/>
    </w:p>
    <w:p w14:paraId="2ACD982F" w14:textId="77777777" w:rsidR="0012210E" w:rsidRDefault="00C402A6">
      <w:pPr>
        <w:pStyle w:val="Headinglevel2"/>
        <w:spacing w:before="240" w:after="120" w:line="276" w:lineRule="auto"/>
      </w:pPr>
      <w:bookmarkStart w:id="105" w:name="_Toc490083864"/>
      <w:bookmarkStart w:id="106" w:name="_Toc496088804"/>
      <w:bookmarkStart w:id="107" w:name="_Toc523473894"/>
      <w:bookmarkStart w:id="108" w:name="_Toc22304710"/>
      <w:bookmarkStart w:id="109" w:name="_Toc22487038"/>
      <w:bookmarkStart w:id="110" w:name="_Toc22487157"/>
      <w:bookmarkStart w:id="111" w:name="_Toc22487632"/>
      <w:r>
        <w:t>Word Processor Policy</w:t>
      </w:r>
      <w:bookmarkEnd w:id="102"/>
      <w:bookmarkEnd w:id="103"/>
      <w:bookmarkEnd w:id="105"/>
      <w:r>
        <w:t xml:space="preserve"> (Exams)</w:t>
      </w:r>
      <w:bookmarkEnd w:id="106"/>
      <w:bookmarkEnd w:id="107"/>
      <w:bookmarkEnd w:id="108"/>
      <w:bookmarkEnd w:id="109"/>
      <w:bookmarkEnd w:id="110"/>
      <w:bookmarkEnd w:id="111"/>
    </w:p>
    <w:p w14:paraId="2C541C04" w14:textId="77777777" w:rsidR="0012210E" w:rsidRDefault="00C402A6">
      <w:pPr>
        <w:spacing w:line="276" w:lineRule="auto"/>
        <w:jc w:val="both"/>
        <w:rPr>
          <w:szCs w:val="24"/>
        </w:rPr>
      </w:pPr>
      <w:r>
        <w:rPr>
          <w:szCs w:val="24"/>
        </w:rPr>
        <w:t>An exam candidate may be approved the use of a word processor where this is appropriate to the candidate’s needs and not simply because the candidate now wants to type rather than write in exams or can work faster on a keyboard, or because they use a laptop at home.  The use of a word processor must reflect the candidate’s normal way of working within the centre.</w:t>
      </w:r>
    </w:p>
    <w:tbl>
      <w:tblPr>
        <w:tblStyle w:val="TableGrid"/>
        <w:tblW w:w="0" w:type="auto"/>
        <w:tblInd w:w="675" w:type="dxa"/>
        <w:tblLook w:val="04A0" w:firstRow="1" w:lastRow="0" w:firstColumn="1" w:lastColumn="0" w:noHBand="0" w:noVBand="1"/>
      </w:tblPr>
      <w:tblGrid>
        <w:gridCol w:w="9367"/>
      </w:tblGrid>
      <w:tr w:rsidR="0012210E" w14:paraId="36810BEA" w14:textId="77777777">
        <w:tc>
          <w:tcPr>
            <w:tcW w:w="9604" w:type="dxa"/>
          </w:tcPr>
          <w:p w14:paraId="31C3903C" w14:textId="4B04426C" w:rsidR="0012210E" w:rsidRDefault="00C402A6">
            <w:pPr>
              <w:pStyle w:val="Headinglevel2"/>
              <w:spacing w:before="120" w:after="120" w:line="276" w:lineRule="auto"/>
              <w:rPr>
                <w:rFonts w:ascii="Trebuchet MS" w:hAnsi="Trebuchet MS" w:cs="Arial"/>
                <w:b w:val="0"/>
                <w:color w:val="auto"/>
              </w:rPr>
            </w:pPr>
            <w:r>
              <w:rPr>
                <w:rFonts w:ascii="Trebuchet MS" w:hAnsi="Trebuchet MS" w:cs="Arial"/>
                <w:b w:val="0"/>
                <w:color w:val="auto"/>
              </w:rPr>
              <w:t xml:space="preserve">The Word Processor Policy can be found in the </w:t>
            </w:r>
            <w:proofErr w:type="spellStart"/>
            <w:r w:rsidR="00E55446">
              <w:rPr>
                <w:rFonts w:ascii="Trebuchet MS" w:hAnsi="Trebuchet MS" w:cs="Arial"/>
                <w:b w:val="0"/>
                <w:color w:val="auto"/>
              </w:rPr>
              <w:t>Sharepoint</w:t>
            </w:r>
            <w:proofErr w:type="spellEnd"/>
            <w:r w:rsidR="00E55446">
              <w:rPr>
                <w:rFonts w:ascii="Trebuchet MS" w:hAnsi="Trebuchet MS" w:cs="Arial"/>
                <w:b w:val="0"/>
                <w:color w:val="auto"/>
              </w:rPr>
              <w:t xml:space="preserve"> – Staff Drive – Exams - Policies</w:t>
            </w:r>
            <w:r>
              <w:rPr>
                <w:rFonts w:ascii="Trebuchet MS" w:hAnsi="Trebuchet MS" w:cs="Arial"/>
                <w:b w:val="0"/>
                <w:color w:val="auto"/>
              </w:rPr>
              <w:t xml:space="preserve"> and held on the school’s website. </w:t>
            </w:r>
          </w:p>
        </w:tc>
      </w:tr>
      <w:bookmarkEnd w:id="104"/>
    </w:tbl>
    <w:p w14:paraId="0FB2D9BE" w14:textId="77777777" w:rsidR="0012210E" w:rsidRDefault="0012210E">
      <w:pPr>
        <w:spacing w:after="200" w:line="276" w:lineRule="auto"/>
        <w:rPr>
          <w:rFonts w:eastAsia="Times New Roman" w:cs="Times New Roman"/>
          <w:b/>
          <w:color w:val="003399"/>
          <w:szCs w:val="24"/>
          <w:highlight w:val="yellow"/>
        </w:rPr>
      </w:pPr>
    </w:p>
    <w:bookmarkEnd w:id="38"/>
    <w:bookmarkEnd w:id="39"/>
    <w:sectPr w:rsidR="0012210E">
      <w:footerReference w:type="default" r:id="rId32"/>
      <w:footerReference w:type="first" r:id="rId33"/>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64F0" w14:textId="77777777" w:rsidR="0012210E" w:rsidRDefault="00C402A6">
      <w:pPr>
        <w:spacing w:after="0"/>
      </w:pPr>
      <w:r>
        <w:separator/>
      </w:r>
    </w:p>
  </w:endnote>
  <w:endnote w:type="continuationSeparator" w:id="0">
    <w:p w14:paraId="207C3DA1" w14:textId="77777777" w:rsidR="0012210E" w:rsidRDefault="00C402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2020502060506020403"/>
    <w:charset w:val="00"/>
    <w:family w:val="roman"/>
    <w:notTrueType/>
    <w:pitch w:val="variable"/>
    <w:sig w:usb0="00000007" w:usb1="00000001" w:usb2="00000000" w:usb3="00000000" w:csb0="00000093" w:csb1="00000000"/>
  </w:font>
  <w:font w:name="Rockwell Condensed">
    <w:panose1 w:val="020606030504050201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0851" w14:textId="77777777" w:rsidR="0012210E" w:rsidRDefault="00C402A6">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7</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EBC4" w14:textId="77777777" w:rsidR="0012210E" w:rsidRDefault="0012210E">
    <w:pPr>
      <w:shd w:val="clear" w:color="auto" w:fill="FFFFFF"/>
      <w:spacing w:before="0" w:after="0"/>
      <w:jc w:val="right"/>
      <w:rPr>
        <w:rFonts w:cs="Arial"/>
        <w:sz w:val="20"/>
        <w:szCs w:val="20"/>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A16C" w14:textId="77777777" w:rsidR="0012210E" w:rsidRDefault="00C402A6">
      <w:pPr>
        <w:spacing w:after="0"/>
      </w:pPr>
      <w:r>
        <w:separator/>
      </w:r>
    </w:p>
  </w:footnote>
  <w:footnote w:type="continuationSeparator" w:id="0">
    <w:p w14:paraId="6DE11F80" w14:textId="77777777" w:rsidR="0012210E" w:rsidRDefault="00C402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827"/>
    <w:multiLevelType w:val="hybridMultilevel"/>
    <w:tmpl w:val="3278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47AC9"/>
    <w:multiLevelType w:val="hybridMultilevel"/>
    <w:tmpl w:val="A9EC69A2"/>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2" w15:restartNumberingAfterBreak="0">
    <w:nsid w:val="17C92F0B"/>
    <w:multiLevelType w:val="hybridMultilevel"/>
    <w:tmpl w:val="EFECCEB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B0F06"/>
    <w:multiLevelType w:val="hybridMultilevel"/>
    <w:tmpl w:val="11AC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665ED"/>
    <w:multiLevelType w:val="hybridMultilevel"/>
    <w:tmpl w:val="DEDC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85033"/>
    <w:multiLevelType w:val="hybridMultilevel"/>
    <w:tmpl w:val="0F6AB042"/>
    <w:lvl w:ilvl="0" w:tplc="0EE0F7B8">
      <w:start w:val="1"/>
      <w:numFmt w:val="bullet"/>
      <w:lvlText w:val=""/>
      <w:lvlJc w:val="left"/>
      <w:pPr>
        <w:ind w:left="720" w:hanging="360"/>
      </w:pPr>
      <w:rPr>
        <w:rFonts w:ascii="Symbol" w:hAnsi="Symbol" w:hint="default"/>
        <w:color w:val="003399"/>
        <w:sz w:val="22"/>
        <w:szCs w:val="28"/>
      </w:rPr>
    </w:lvl>
    <w:lvl w:ilvl="1" w:tplc="536A778A">
      <w:start w:val="3"/>
      <w:numFmt w:val="bullet"/>
      <w:lvlText w:val="•"/>
      <w:lvlJc w:val="left"/>
      <w:pPr>
        <w:ind w:left="1440" w:hanging="360"/>
      </w:pPr>
      <w:rPr>
        <w:rFonts w:ascii="Rockwell" w:eastAsiaTheme="minorHAnsi" w:hAnsi="Rockwel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17764"/>
    <w:multiLevelType w:val="hybridMultilevel"/>
    <w:tmpl w:val="EE9A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D45B3"/>
    <w:multiLevelType w:val="hybridMultilevel"/>
    <w:tmpl w:val="6B201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701B2"/>
    <w:multiLevelType w:val="hybridMultilevel"/>
    <w:tmpl w:val="6C3E20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0D78D4"/>
    <w:multiLevelType w:val="hybridMultilevel"/>
    <w:tmpl w:val="509A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0C208B"/>
    <w:multiLevelType w:val="hybridMultilevel"/>
    <w:tmpl w:val="C60087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4903E4"/>
    <w:multiLevelType w:val="hybridMultilevel"/>
    <w:tmpl w:val="CC767F06"/>
    <w:lvl w:ilvl="0" w:tplc="08090001">
      <w:start w:val="1"/>
      <w:numFmt w:val="bullet"/>
      <w:lvlText w:val=""/>
      <w:lvlJc w:val="left"/>
      <w:pPr>
        <w:ind w:left="1656" w:hanging="360"/>
      </w:pPr>
      <w:rPr>
        <w:rFonts w:ascii="Symbol" w:hAnsi="Symbol"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num w:numId="1">
    <w:abstractNumId w:val="2"/>
  </w:num>
  <w:num w:numId="2">
    <w:abstractNumId w:val="5"/>
  </w:num>
  <w:num w:numId="3">
    <w:abstractNumId w:val="11"/>
  </w:num>
  <w:num w:numId="4">
    <w:abstractNumId w:val="8"/>
  </w:num>
  <w:num w:numId="5">
    <w:abstractNumId w:val="10"/>
  </w:num>
  <w:num w:numId="6">
    <w:abstractNumId w:val="7"/>
  </w:num>
  <w:num w:numId="7">
    <w:abstractNumId w:val="1"/>
  </w:num>
  <w:num w:numId="8">
    <w:abstractNumId w:val="3"/>
  </w:num>
  <w:num w:numId="9">
    <w:abstractNumId w:val="4"/>
  </w:num>
  <w:num w:numId="10">
    <w:abstractNumId w:val="0"/>
  </w:num>
  <w:num w:numId="11">
    <w:abstractNumId w:val="12"/>
  </w:num>
  <w:num w:numId="12">
    <w:abstractNumId w:val="6"/>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0E"/>
    <w:rsid w:val="000B5A43"/>
    <w:rsid w:val="0012210E"/>
    <w:rsid w:val="001A68B5"/>
    <w:rsid w:val="002A7A77"/>
    <w:rsid w:val="002F6894"/>
    <w:rsid w:val="003271DF"/>
    <w:rsid w:val="004953A3"/>
    <w:rsid w:val="00615D7C"/>
    <w:rsid w:val="00740725"/>
    <w:rsid w:val="0083050E"/>
    <w:rsid w:val="00AB0CD1"/>
    <w:rsid w:val="00B238E1"/>
    <w:rsid w:val="00C402A6"/>
    <w:rsid w:val="00CC5FE0"/>
    <w:rsid w:val="00DE7DD7"/>
    <w:rsid w:val="00E55446"/>
    <w:rsid w:val="00F63094"/>
    <w:rsid w:val="00FF49D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AA0F19"/>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Rockwell" w:hAnsi="Rockwell"/>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customStyle="1" w:styleId="icon">
    <w:name w:val="ico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access-arrangements-and-special-consideration/regulations-and-guidance" TargetMode="External"/><Relationship Id="rId26" Type="http://schemas.openxmlformats.org/officeDocument/2006/relationships/hyperlink" Target="http://www.jcq.org.uk/exams-office/access-arrangements-and-special-consideration/regulations-and-guidance" TargetMode="External"/><Relationship Id="rId21" Type="http://schemas.openxmlformats.org/officeDocument/2006/relationships/hyperlink" Target="http://www.jcq.org.uk/exams-office/access-arrangements-and-special-consideration/regulations-and-guidanc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jcq.org.uk/exams-office/general-regulations" TargetMode="External"/><Relationship Id="rId25" Type="http://schemas.openxmlformats.org/officeDocument/2006/relationships/hyperlink" Target="http://www.jcq.org.uk/exams-office/general-regulations" TargetMode="External"/><Relationship Id="rId33" Type="http://schemas.openxmlformats.org/officeDocument/2006/relationships/footer" Target="footer2.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general-regulations" TargetMode="External"/><Relationship Id="rId29" Type="http://schemas.openxmlformats.org/officeDocument/2006/relationships/hyperlink" Target="http://www.jcq.org.uk/exams-office/access-arrangements-and-special-consideration/regulations-and-guida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jcq.org.uk/exams-office/access-arrangements-and-special-consideration/regulations-and-guidance" TargetMode="External"/><Relationship Id="rId32" Type="http://schemas.openxmlformats.org/officeDocument/2006/relationships/footer" Target="footer1.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jcq.org.uk/exams-office/general-regulations" TargetMode="External"/><Relationship Id="rId23" Type="http://schemas.openxmlformats.org/officeDocument/2006/relationships/hyperlink" Target="http://www.jcq.org.uk/exams-office/access-arrangements-and-special-consideration/regulations-and-guidance" TargetMode="External"/><Relationship Id="rId28" Type="http://schemas.openxmlformats.org/officeDocument/2006/relationships/hyperlink" Target="http://www.jcq.org.uk/exams-office/access-arrangements-and-special-consideration/regulations-and-guidance" TargetMode="External"/><Relationship Id="rId36" Type="http://schemas.openxmlformats.org/officeDocument/2006/relationships/customXml" Target="../customXml/item3.xml"/><Relationship Id="rId10" Type="http://schemas.openxmlformats.org/officeDocument/2006/relationships/image" Target="media/image2.jpeg"/><Relationship Id="rId19" Type="http://schemas.openxmlformats.org/officeDocument/2006/relationships/hyperlink" Target="http://www.jcq.org.uk/exams-office/access-arrangements-and-special-consideration/regulations-and-guidance" TargetMode="External"/><Relationship Id="rId31" Type="http://schemas.openxmlformats.org/officeDocument/2006/relationships/hyperlink" Target="http://www.jcq.org.uk/exams-office/access-arrangements-and-special-consideration/regulations-and-guidanc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jcq.org.uk/exams-office/access-arrangements-and-special-consideration/regulations-and-guidance" TargetMode="External"/><Relationship Id="rId22" Type="http://schemas.openxmlformats.org/officeDocument/2006/relationships/hyperlink" Target="http://www.jcq.org.uk/exams-office/access-arrangements-and-special-consideration/regulations-and-guidance" TargetMode="External"/><Relationship Id="rId27" Type="http://schemas.openxmlformats.org/officeDocument/2006/relationships/hyperlink" Target="http://www.jcq.org.uk/exams-office/general-regulations" TargetMode="External"/><Relationship Id="rId30" Type="http://schemas.openxmlformats.org/officeDocument/2006/relationships/hyperlink" Target="http://www.jcq.org.uk/exams-office/access-arrangements-and-special-consideration/regulations-and-guidance"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8725ec2dd594c2a748f67ce7ed67aa7c">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bfc38f67add0dd576fc7245e088ddcbf"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b656327-94b9-42ea-af11-417c61fb346c}"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9049AE-A6AB-4588-B37A-C973B3AA3B05}">
  <ds:schemaRefs>
    <ds:schemaRef ds:uri="http://schemas.openxmlformats.org/officeDocument/2006/bibliography"/>
  </ds:schemaRefs>
</ds:datastoreItem>
</file>

<file path=customXml/itemProps3.xml><?xml version="1.0" encoding="utf-8"?>
<ds:datastoreItem xmlns:ds="http://schemas.openxmlformats.org/officeDocument/2006/customXml" ds:itemID="{2637D6AC-BC98-4FEA-9705-4FDA37060D41}"/>
</file>

<file path=customXml/itemProps4.xml><?xml version="1.0" encoding="utf-8"?>
<ds:datastoreItem xmlns:ds="http://schemas.openxmlformats.org/officeDocument/2006/customXml" ds:itemID="{5C13C751-506A-4435-8B01-571D071938C5}"/>
</file>

<file path=customXml/itemProps5.xml><?xml version="1.0" encoding="utf-8"?>
<ds:datastoreItem xmlns:ds="http://schemas.openxmlformats.org/officeDocument/2006/customXml" ds:itemID="{456C97A4-7EA2-40C1-B222-D5377F26CC00}"/>
</file>

<file path=docProps/app.xml><?xml version="1.0" encoding="utf-8"?>
<Properties xmlns="http://schemas.openxmlformats.org/officeDocument/2006/extended-properties" xmlns:vt="http://schemas.openxmlformats.org/officeDocument/2006/docPropsVTypes">
  <Template>Normal.dotm</Template>
  <TotalTime>182</TotalTime>
  <Pages>8</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Pauline Cleary</cp:lastModifiedBy>
  <cp:revision>13</cp:revision>
  <cp:lastPrinted>2020-11-02T13:58:00Z</cp:lastPrinted>
  <dcterms:created xsi:type="dcterms:W3CDTF">2020-11-02T14:26:00Z</dcterms:created>
  <dcterms:modified xsi:type="dcterms:W3CDTF">2026-01-23T15:23:00Z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ies>
</file>