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61B7" w14:textId="77777777" w:rsidR="00000558" w:rsidRDefault="00A26BAD">
      <w:pPr>
        <w:tabs>
          <w:tab w:val="left" w:pos="6375"/>
        </w:tabs>
        <w:rPr>
          <w:rFonts w:ascii="Rockwell" w:hAnsi="Rockwell"/>
          <w:color w:val="003399"/>
          <w:sz w:val="96"/>
          <w:szCs w:val="96"/>
        </w:rPr>
      </w:pPr>
      <w:r>
        <w:rPr>
          <w:noProof/>
        </w:rPr>
        <w:drawing>
          <wp:anchor distT="0" distB="0" distL="114300" distR="114300" simplePos="0" relativeHeight="251661312" behindDoc="0" locked="0" layoutInCell="1" allowOverlap="1" wp14:anchorId="4846603B" wp14:editId="4EE69AF0">
            <wp:simplePos x="0" y="0"/>
            <wp:positionH relativeFrom="column">
              <wp:posOffset>3924300</wp:posOffset>
            </wp:positionH>
            <wp:positionV relativeFrom="paragraph">
              <wp:posOffset>358140</wp:posOffset>
            </wp:positionV>
            <wp:extent cx="739140" cy="635635"/>
            <wp:effectExtent l="0" t="0" r="0" b="0"/>
            <wp:wrapNone/>
            <wp:docPr id="2" name="Picture 2"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FD2CB6A" wp14:editId="54D2A6BB">
            <wp:simplePos x="0" y="0"/>
            <wp:positionH relativeFrom="column">
              <wp:posOffset>180975</wp:posOffset>
            </wp:positionH>
            <wp:positionV relativeFrom="paragraph">
              <wp:posOffset>104775</wp:posOffset>
            </wp:positionV>
            <wp:extent cx="1152525" cy="1028700"/>
            <wp:effectExtent l="0" t="0" r="9525" b="0"/>
            <wp:wrapSquare wrapText="bothSides"/>
            <wp:docPr id="1" name="Picture 1"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anchor>
        </w:drawing>
      </w:r>
      <w:r>
        <w:rPr>
          <w:rFonts w:ascii="Rockwell" w:hAnsi="Rockwell"/>
          <w:color w:val="003399"/>
          <w:sz w:val="96"/>
          <w:szCs w:val="96"/>
        </w:rPr>
        <w:tab/>
      </w:r>
    </w:p>
    <w:p w14:paraId="60F877A1" w14:textId="77777777" w:rsidR="00000558" w:rsidRDefault="00000558">
      <w:pPr>
        <w:rPr>
          <w:rFonts w:ascii="Rockwell" w:hAnsi="Rockwell"/>
          <w:color w:val="003399"/>
          <w:sz w:val="96"/>
          <w:szCs w:val="96"/>
        </w:rPr>
      </w:pPr>
    </w:p>
    <w:p w14:paraId="371246A3" w14:textId="77777777" w:rsidR="00000558" w:rsidRDefault="00000558">
      <w:pPr>
        <w:rPr>
          <w:rFonts w:ascii="Rockwell" w:hAnsi="Rockwell"/>
          <w:color w:val="003399"/>
          <w:sz w:val="96"/>
          <w:szCs w:val="96"/>
        </w:rPr>
      </w:pPr>
    </w:p>
    <w:p w14:paraId="532CAB50" w14:textId="77777777" w:rsidR="00000558" w:rsidRDefault="00000558">
      <w:pPr>
        <w:rPr>
          <w:rFonts w:ascii="Rockwell" w:hAnsi="Rockwell"/>
          <w:color w:val="003399"/>
          <w:sz w:val="96"/>
          <w:szCs w:val="96"/>
        </w:rPr>
      </w:pPr>
    </w:p>
    <w:p w14:paraId="73B4FC91" w14:textId="77777777" w:rsidR="00000558" w:rsidRDefault="00000558">
      <w:pPr>
        <w:rPr>
          <w:rFonts w:ascii="Rockwell" w:hAnsi="Rockwell"/>
          <w:color w:val="003399"/>
          <w:sz w:val="96"/>
          <w:szCs w:val="96"/>
        </w:rPr>
      </w:pPr>
    </w:p>
    <w:p w14:paraId="014A4515" w14:textId="77777777" w:rsidR="00000558" w:rsidRDefault="00A26BAD">
      <w:pPr>
        <w:spacing w:after="120" w:line="276" w:lineRule="auto"/>
        <w:jc w:val="center"/>
        <w:rPr>
          <w:rFonts w:ascii="Rockwell" w:hAnsi="Rockwell"/>
          <w:b/>
          <w:color w:val="003399"/>
          <w:sz w:val="72"/>
          <w:szCs w:val="72"/>
        </w:rPr>
      </w:pPr>
      <w:r>
        <w:rPr>
          <w:rFonts w:ascii="Rockwell" w:hAnsi="Rockwell"/>
          <w:b/>
          <w:color w:val="003399"/>
          <w:sz w:val="72"/>
          <w:szCs w:val="72"/>
        </w:rPr>
        <w:t>Emergency evacuation policy (exams)</w:t>
      </w:r>
    </w:p>
    <w:p w14:paraId="1948FA97" w14:textId="3DB6FBC3" w:rsidR="00000558" w:rsidRDefault="00A26BAD">
      <w:pPr>
        <w:spacing w:line="276" w:lineRule="auto"/>
        <w:jc w:val="center"/>
        <w:rPr>
          <w:rFonts w:ascii="Rockwell" w:hAnsi="Rockwell"/>
          <w:b/>
          <w:color w:val="FF3300"/>
          <w:sz w:val="72"/>
          <w:szCs w:val="72"/>
        </w:rPr>
      </w:pPr>
      <w:r>
        <w:rPr>
          <w:rFonts w:ascii="Rockwell" w:hAnsi="Rockwell"/>
          <w:color w:val="FF3300"/>
          <w:sz w:val="72"/>
          <w:szCs w:val="72"/>
        </w:rPr>
        <w:t>202</w:t>
      </w:r>
      <w:r w:rsidR="000A0B1D">
        <w:rPr>
          <w:rFonts w:ascii="Rockwell" w:hAnsi="Rockwell"/>
          <w:color w:val="FF3300"/>
          <w:sz w:val="72"/>
          <w:szCs w:val="72"/>
        </w:rPr>
        <w:t>5</w:t>
      </w:r>
      <w:r>
        <w:rPr>
          <w:rFonts w:ascii="Rockwell" w:hAnsi="Rockwell"/>
          <w:color w:val="FF3300"/>
          <w:sz w:val="72"/>
          <w:szCs w:val="72"/>
        </w:rPr>
        <w:t>/202</w:t>
      </w:r>
      <w:r w:rsidR="000A0B1D">
        <w:rPr>
          <w:rFonts w:ascii="Rockwell" w:hAnsi="Rockwell"/>
          <w:color w:val="FF3300"/>
          <w:sz w:val="72"/>
          <w:szCs w:val="72"/>
        </w:rPr>
        <w:t>6</w:t>
      </w:r>
    </w:p>
    <w:p w14:paraId="1FC24308" w14:textId="77777777" w:rsidR="00000558" w:rsidRDefault="00000558">
      <w:pPr>
        <w:autoSpaceDE w:val="0"/>
        <w:autoSpaceDN w:val="0"/>
        <w:adjustRightInd w:val="0"/>
        <w:spacing w:line="276" w:lineRule="auto"/>
        <w:rPr>
          <w:rFonts w:ascii="Rockwell" w:hAnsi="Rockwell"/>
          <w:szCs w:val="24"/>
        </w:rPr>
      </w:pPr>
    </w:p>
    <w:p w14:paraId="7A925684" w14:textId="77777777" w:rsidR="00000558" w:rsidRDefault="00000558">
      <w:pPr>
        <w:autoSpaceDE w:val="0"/>
        <w:autoSpaceDN w:val="0"/>
        <w:adjustRightInd w:val="0"/>
        <w:spacing w:line="276" w:lineRule="auto"/>
        <w:rPr>
          <w:rFonts w:ascii="Rockwell" w:hAnsi="Rockwell"/>
          <w:szCs w:val="24"/>
        </w:rPr>
      </w:pPr>
    </w:p>
    <w:p w14:paraId="5B0E0EE2" w14:textId="77777777" w:rsidR="00000558" w:rsidRDefault="00000558">
      <w:pPr>
        <w:autoSpaceDE w:val="0"/>
        <w:autoSpaceDN w:val="0"/>
        <w:adjustRightInd w:val="0"/>
        <w:spacing w:line="276" w:lineRule="auto"/>
        <w:rPr>
          <w:rFonts w:ascii="Rockwell" w:hAnsi="Rockwell"/>
          <w:szCs w:val="24"/>
        </w:rPr>
      </w:pPr>
    </w:p>
    <w:p w14:paraId="455DDF2D" w14:textId="77777777" w:rsidR="00000558" w:rsidRDefault="00000558">
      <w:pPr>
        <w:autoSpaceDE w:val="0"/>
        <w:autoSpaceDN w:val="0"/>
        <w:adjustRightInd w:val="0"/>
        <w:spacing w:line="276" w:lineRule="auto"/>
        <w:rPr>
          <w:rFonts w:ascii="Rockwell" w:hAnsi="Rockwell"/>
          <w:szCs w:val="24"/>
        </w:rPr>
      </w:pPr>
    </w:p>
    <w:p w14:paraId="3D478A7A" w14:textId="77777777" w:rsidR="00000558" w:rsidRDefault="00000558">
      <w:pPr>
        <w:autoSpaceDE w:val="0"/>
        <w:autoSpaceDN w:val="0"/>
        <w:adjustRightInd w:val="0"/>
        <w:spacing w:line="276" w:lineRule="auto"/>
        <w:rPr>
          <w:rFonts w:ascii="Rockwell" w:hAnsi="Rockwell"/>
          <w:szCs w:val="24"/>
        </w:rPr>
      </w:pPr>
    </w:p>
    <w:p w14:paraId="7C984EF2" w14:textId="77777777" w:rsidR="00000558" w:rsidRDefault="00000558">
      <w:pPr>
        <w:autoSpaceDE w:val="0"/>
        <w:autoSpaceDN w:val="0"/>
        <w:adjustRightInd w:val="0"/>
        <w:spacing w:line="276" w:lineRule="auto"/>
        <w:rPr>
          <w:rFonts w:ascii="Rockwell" w:hAnsi="Rockwell"/>
          <w:szCs w:val="24"/>
        </w:rPr>
      </w:pPr>
    </w:p>
    <w:p w14:paraId="7A1997F1" w14:textId="77777777" w:rsidR="00000558" w:rsidRDefault="00000558">
      <w:pPr>
        <w:autoSpaceDE w:val="0"/>
        <w:autoSpaceDN w:val="0"/>
        <w:adjustRightInd w:val="0"/>
        <w:spacing w:line="276" w:lineRule="auto"/>
        <w:rPr>
          <w:rFonts w:ascii="Rockwell" w:hAnsi="Rockwell"/>
          <w:szCs w:val="24"/>
        </w:rPr>
      </w:pPr>
    </w:p>
    <w:p w14:paraId="42E6E679" w14:textId="77777777" w:rsidR="00000558" w:rsidRDefault="00000558">
      <w:pPr>
        <w:autoSpaceDE w:val="0"/>
        <w:autoSpaceDN w:val="0"/>
        <w:adjustRightInd w:val="0"/>
        <w:spacing w:line="276" w:lineRule="auto"/>
        <w:rPr>
          <w:rFonts w:ascii="Rockwell" w:hAnsi="Rockwell"/>
          <w:szCs w:val="24"/>
        </w:rPr>
      </w:pPr>
    </w:p>
    <w:p w14:paraId="2F24756B" w14:textId="77777777" w:rsidR="00000558" w:rsidRDefault="00A26BAD">
      <w:pPr>
        <w:spacing w:before="120" w:after="120" w:line="276" w:lineRule="auto"/>
        <w:jc w:val="right"/>
        <w:rPr>
          <w:rFonts w:ascii="Rockwell" w:hAnsi="Rockwell"/>
          <w:sz w:val="24"/>
          <w:szCs w:val="24"/>
        </w:rPr>
      </w:pPr>
      <w:r>
        <w:rPr>
          <w:rFonts w:ascii="Rockwell" w:hAnsi="Rockwell"/>
          <w:sz w:val="24"/>
          <w:szCs w:val="24"/>
        </w:rP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000558" w14:paraId="73A3D7C8" w14:textId="77777777">
        <w:tc>
          <w:tcPr>
            <w:tcW w:w="3969" w:type="dxa"/>
            <w:gridSpan w:val="2"/>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24B94BF6" w14:textId="77777777" w:rsidR="00000558" w:rsidRDefault="00A26BAD">
            <w:pPr>
              <w:spacing w:before="120" w:after="120" w:line="276" w:lineRule="auto"/>
              <w:jc w:val="center"/>
              <w:rPr>
                <w:rFonts w:ascii="Rockwell Condensed" w:hAnsi="Rockwell Condensed" w:cs="Arial"/>
                <w:sz w:val="24"/>
                <w:szCs w:val="24"/>
              </w:rPr>
            </w:pPr>
            <w:r>
              <w:rPr>
                <w:rFonts w:ascii="Rockwell Condensed" w:hAnsi="Rockwell Condensed" w:cs="Arial"/>
                <w:sz w:val="24"/>
                <w:szCs w:val="24"/>
              </w:rPr>
              <w:t>Approved/reviewed by</w:t>
            </w:r>
          </w:p>
        </w:tc>
      </w:tr>
      <w:tr w:rsidR="00000558" w14:paraId="05350DE2" w14:textId="77777777">
        <w:tc>
          <w:tcPr>
            <w:tcW w:w="3969" w:type="dxa"/>
            <w:gridSpan w:val="2"/>
            <w:tcBorders>
              <w:top w:val="single" w:sz="8" w:space="0" w:color="FF3300"/>
              <w:left w:val="single" w:sz="8" w:space="0" w:color="FF3300"/>
              <w:bottom w:val="single" w:sz="8" w:space="0" w:color="FF3300"/>
              <w:right w:val="single" w:sz="8" w:space="0" w:color="FF3300"/>
            </w:tcBorders>
            <w:vAlign w:val="center"/>
          </w:tcPr>
          <w:p w14:paraId="6F9A156E" w14:textId="77777777" w:rsidR="00000558" w:rsidRDefault="00000558">
            <w:pPr>
              <w:spacing w:before="120" w:after="120" w:line="276" w:lineRule="auto"/>
              <w:rPr>
                <w:rFonts w:cs="Arial"/>
                <w:sz w:val="24"/>
                <w:szCs w:val="24"/>
              </w:rPr>
            </w:pPr>
          </w:p>
        </w:tc>
      </w:tr>
      <w:tr w:rsidR="00000558" w14:paraId="3E141DF2" w14:textId="77777777">
        <w:tc>
          <w:tcPr>
            <w:tcW w:w="2008" w:type="dxa"/>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5F624063" w14:textId="77777777" w:rsidR="00000558" w:rsidRDefault="00A26BAD">
            <w:pPr>
              <w:spacing w:before="120" w:after="120" w:line="276" w:lineRule="auto"/>
              <w:ind w:left="1080" w:hanging="1080"/>
              <w:rPr>
                <w:rFonts w:ascii="Rockwell Condensed" w:hAnsi="Rockwell Condensed" w:cs="Arial"/>
                <w:sz w:val="24"/>
                <w:szCs w:val="24"/>
              </w:rPr>
            </w:pPr>
            <w:r>
              <w:rPr>
                <w:rFonts w:ascii="Rockwell Condensed" w:hAnsi="Rockwell Condensed" w:cs="Arial"/>
                <w:sz w:val="24"/>
                <w:szCs w:val="24"/>
              </w:rPr>
              <w:t>Date of next review</w:t>
            </w:r>
          </w:p>
        </w:tc>
        <w:tc>
          <w:tcPr>
            <w:tcW w:w="1961" w:type="dxa"/>
            <w:tcBorders>
              <w:top w:val="single" w:sz="8" w:space="0" w:color="FF3300"/>
              <w:left w:val="single" w:sz="8" w:space="0" w:color="FF3300"/>
              <w:bottom w:val="single" w:sz="8" w:space="0" w:color="FF3300"/>
              <w:right w:val="single" w:sz="8" w:space="0" w:color="FF3300"/>
            </w:tcBorders>
            <w:vAlign w:val="center"/>
          </w:tcPr>
          <w:p w14:paraId="574CF306" w14:textId="77777777" w:rsidR="00000558" w:rsidRDefault="00000558">
            <w:pPr>
              <w:spacing w:before="120" w:after="120" w:line="276" w:lineRule="auto"/>
              <w:rPr>
                <w:rFonts w:cs="Arial"/>
              </w:rPr>
            </w:pPr>
          </w:p>
        </w:tc>
      </w:tr>
    </w:tbl>
    <w:p w14:paraId="24CDB4EB" w14:textId="77777777" w:rsidR="00000558" w:rsidRDefault="00000558">
      <w:pPr>
        <w:spacing w:before="120" w:after="120" w:line="276" w:lineRule="auto"/>
        <w:rPr>
          <w:rFonts w:ascii="Rockwell" w:hAnsi="Rockwell" w:cs="Arial"/>
          <w:b/>
          <w:color w:val="FF3300"/>
        </w:rPr>
      </w:pPr>
    </w:p>
    <w:p w14:paraId="02A25359" w14:textId="77777777" w:rsidR="00000558" w:rsidRDefault="00A26BAD">
      <w:pPr>
        <w:pStyle w:val="Headinglevel1"/>
        <w:spacing w:before="240" w:line="276" w:lineRule="auto"/>
        <w:rPr>
          <w:rFonts w:ascii="Rockwell" w:hAnsi="Rockwell"/>
        </w:rPr>
      </w:pPr>
      <w:bookmarkStart w:id="0" w:name="_Toc490256598"/>
      <w:bookmarkStart w:id="1" w:name="_Toc495925305"/>
      <w:r>
        <w:rPr>
          <w:rFonts w:ascii="Rockwell" w:hAnsi="Rockwell"/>
        </w:rPr>
        <w:lastRenderedPageBreak/>
        <w:t xml:space="preserve">Key staff involved in </w:t>
      </w:r>
      <w:bookmarkEnd w:id="0"/>
      <w:bookmarkEnd w:id="1"/>
      <w:r>
        <w:rPr>
          <w:rFonts w:ascii="Rockwell" w:hAnsi="Rockwell"/>
        </w:rPr>
        <w:t>the emergency evacuation policy/procedure</w:t>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91"/>
        <w:gridCol w:w="8177"/>
      </w:tblGrid>
      <w:tr w:rsidR="00000558" w14:paraId="1FB03102" w14:textId="77777777">
        <w:tc>
          <w:tcPr>
            <w:tcW w:w="2091" w:type="dxa"/>
            <w:shd w:val="clear" w:color="auto" w:fill="FDE9D9" w:themeFill="accent6" w:themeFillTint="33"/>
          </w:tcPr>
          <w:p w14:paraId="286424BF" w14:textId="77777777" w:rsidR="00000558" w:rsidRDefault="00A26BAD">
            <w:pPr>
              <w:spacing w:before="120" w:after="120"/>
              <w:rPr>
                <w:rFonts w:ascii="Rockwell" w:hAnsi="Rockwell"/>
                <w:b/>
                <w:color w:val="FF3300"/>
                <w:sz w:val="24"/>
                <w:szCs w:val="24"/>
              </w:rPr>
            </w:pPr>
            <w:r>
              <w:rPr>
                <w:rFonts w:ascii="Rockwell" w:hAnsi="Rockwell"/>
                <w:b/>
                <w:color w:val="FF3300"/>
                <w:sz w:val="24"/>
                <w:szCs w:val="24"/>
              </w:rPr>
              <w:t>Role</w:t>
            </w:r>
          </w:p>
        </w:tc>
        <w:tc>
          <w:tcPr>
            <w:tcW w:w="8177" w:type="dxa"/>
            <w:shd w:val="clear" w:color="auto" w:fill="FDE9D9" w:themeFill="accent6" w:themeFillTint="33"/>
          </w:tcPr>
          <w:p w14:paraId="24E27BB2" w14:textId="77777777" w:rsidR="00000558" w:rsidRDefault="00A26BAD">
            <w:pPr>
              <w:spacing w:before="120" w:after="120"/>
              <w:rPr>
                <w:rFonts w:ascii="Rockwell" w:hAnsi="Rockwell"/>
                <w:b/>
                <w:color w:val="FF3300"/>
                <w:sz w:val="24"/>
                <w:szCs w:val="24"/>
              </w:rPr>
            </w:pPr>
            <w:r>
              <w:rPr>
                <w:rFonts w:ascii="Rockwell" w:hAnsi="Rockwell"/>
                <w:b/>
                <w:color w:val="FF3300"/>
                <w:sz w:val="24"/>
                <w:szCs w:val="24"/>
              </w:rPr>
              <w:t>Name(s)</w:t>
            </w:r>
          </w:p>
        </w:tc>
      </w:tr>
      <w:tr w:rsidR="00000558" w14:paraId="7DDB42F3" w14:textId="77777777">
        <w:tc>
          <w:tcPr>
            <w:tcW w:w="2091" w:type="dxa"/>
          </w:tcPr>
          <w:p w14:paraId="4554EF4B" w14:textId="77777777" w:rsidR="00000558" w:rsidRDefault="00A26BAD">
            <w:pPr>
              <w:spacing w:before="120" w:after="120"/>
              <w:rPr>
                <w:rFonts w:ascii="Rockwell Condensed" w:hAnsi="Rockwell Condensed"/>
                <w:sz w:val="24"/>
                <w:szCs w:val="24"/>
              </w:rPr>
            </w:pPr>
            <w:r>
              <w:rPr>
                <w:rFonts w:ascii="Rockwell Condensed" w:hAnsi="Rockwell Condensed"/>
                <w:sz w:val="24"/>
                <w:szCs w:val="24"/>
              </w:rPr>
              <w:t>Head of centre</w:t>
            </w:r>
          </w:p>
        </w:tc>
        <w:tc>
          <w:tcPr>
            <w:tcW w:w="8177" w:type="dxa"/>
          </w:tcPr>
          <w:p w14:paraId="666CFAB8" w14:textId="77777777" w:rsidR="00000558" w:rsidRDefault="00A26BAD">
            <w:pPr>
              <w:spacing w:before="120" w:after="120"/>
              <w:rPr>
                <w:rFonts w:ascii="Rockwell" w:hAnsi="Rockwell"/>
                <w:b/>
                <w:sz w:val="24"/>
                <w:szCs w:val="24"/>
              </w:rPr>
            </w:pPr>
            <w:r>
              <w:rPr>
                <w:rFonts w:ascii="Rockwell" w:hAnsi="Rockwell"/>
                <w:b/>
                <w:sz w:val="24"/>
                <w:szCs w:val="24"/>
              </w:rPr>
              <w:t>V Whitcombe</w:t>
            </w:r>
          </w:p>
        </w:tc>
      </w:tr>
      <w:tr w:rsidR="00000558" w14:paraId="2EABE873" w14:textId="77777777">
        <w:tc>
          <w:tcPr>
            <w:tcW w:w="2091" w:type="dxa"/>
          </w:tcPr>
          <w:p w14:paraId="5FA469DF" w14:textId="77777777" w:rsidR="00000558" w:rsidRDefault="00A26BAD">
            <w:pPr>
              <w:spacing w:before="120" w:after="120"/>
              <w:rPr>
                <w:rFonts w:ascii="Rockwell Condensed" w:hAnsi="Rockwell Condensed"/>
                <w:sz w:val="24"/>
                <w:szCs w:val="24"/>
              </w:rPr>
            </w:pPr>
            <w:proofErr w:type="gramStart"/>
            <w:r>
              <w:rPr>
                <w:rFonts w:ascii="Rockwell Condensed" w:hAnsi="Rockwell Condensed"/>
                <w:sz w:val="24"/>
                <w:szCs w:val="24"/>
              </w:rPr>
              <w:t>Exams</w:t>
            </w:r>
            <w:proofErr w:type="gramEnd"/>
            <w:r>
              <w:rPr>
                <w:rFonts w:ascii="Rockwell Condensed" w:hAnsi="Rockwell Condensed"/>
                <w:sz w:val="24"/>
                <w:szCs w:val="24"/>
              </w:rPr>
              <w:t xml:space="preserve"> officer</w:t>
            </w:r>
          </w:p>
        </w:tc>
        <w:tc>
          <w:tcPr>
            <w:tcW w:w="8177" w:type="dxa"/>
          </w:tcPr>
          <w:p w14:paraId="417E8B1E" w14:textId="77777777" w:rsidR="00000558" w:rsidRDefault="00A26BAD">
            <w:pPr>
              <w:spacing w:before="120" w:after="120"/>
              <w:rPr>
                <w:rFonts w:ascii="Rockwell" w:hAnsi="Rockwell"/>
                <w:b/>
                <w:sz w:val="24"/>
                <w:szCs w:val="24"/>
              </w:rPr>
            </w:pPr>
            <w:r>
              <w:rPr>
                <w:rFonts w:ascii="Rockwell" w:hAnsi="Rockwell"/>
                <w:b/>
                <w:sz w:val="24"/>
                <w:szCs w:val="24"/>
              </w:rPr>
              <w:t>P Cleary</w:t>
            </w:r>
          </w:p>
        </w:tc>
      </w:tr>
      <w:tr w:rsidR="00000558" w14:paraId="0C54F783" w14:textId="77777777">
        <w:tc>
          <w:tcPr>
            <w:tcW w:w="2091" w:type="dxa"/>
          </w:tcPr>
          <w:p w14:paraId="1401427F" w14:textId="77777777" w:rsidR="00000558" w:rsidRDefault="00A26BAD">
            <w:pPr>
              <w:spacing w:before="120" w:after="120"/>
              <w:rPr>
                <w:rFonts w:ascii="Rockwell Condensed" w:hAnsi="Rockwell Condensed"/>
                <w:sz w:val="24"/>
                <w:szCs w:val="24"/>
              </w:rPr>
            </w:pPr>
            <w:r>
              <w:rPr>
                <w:rFonts w:ascii="Rockwell Condensed" w:hAnsi="Rockwell Condensed"/>
                <w:sz w:val="24"/>
                <w:szCs w:val="24"/>
              </w:rPr>
              <w:t>SLT member(s)</w:t>
            </w:r>
          </w:p>
        </w:tc>
        <w:tc>
          <w:tcPr>
            <w:tcW w:w="8177" w:type="dxa"/>
          </w:tcPr>
          <w:p w14:paraId="0F60B6E4" w14:textId="7F7E21ED" w:rsidR="00000558" w:rsidRDefault="000A0B1D">
            <w:pPr>
              <w:spacing w:before="120" w:after="120"/>
              <w:rPr>
                <w:rFonts w:ascii="Rockwell" w:hAnsi="Rockwell"/>
                <w:b/>
                <w:sz w:val="24"/>
                <w:szCs w:val="24"/>
              </w:rPr>
            </w:pPr>
            <w:r>
              <w:rPr>
                <w:rFonts w:ascii="Rockwell" w:hAnsi="Rockwell"/>
                <w:b/>
                <w:sz w:val="24"/>
                <w:szCs w:val="24"/>
              </w:rPr>
              <w:t>R Bushell</w:t>
            </w:r>
            <w:r w:rsidR="00A26BAD">
              <w:rPr>
                <w:rFonts w:ascii="Rockwell" w:hAnsi="Rockwell"/>
                <w:b/>
                <w:sz w:val="24"/>
                <w:szCs w:val="24"/>
              </w:rPr>
              <w:t xml:space="preserve">, </w:t>
            </w:r>
            <w:r>
              <w:rPr>
                <w:rFonts w:ascii="Rockwell" w:hAnsi="Rockwell"/>
                <w:b/>
                <w:sz w:val="24"/>
                <w:szCs w:val="24"/>
              </w:rPr>
              <w:t>J</w:t>
            </w:r>
            <w:r w:rsidR="003B0519">
              <w:rPr>
                <w:rFonts w:ascii="Rockwell" w:hAnsi="Rockwell"/>
                <w:b/>
                <w:sz w:val="24"/>
                <w:szCs w:val="24"/>
              </w:rPr>
              <w:t xml:space="preserve"> Watkinson</w:t>
            </w:r>
            <w:r w:rsidR="00A26BAD">
              <w:rPr>
                <w:rFonts w:ascii="Rockwell" w:hAnsi="Rockwell"/>
                <w:b/>
                <w:sz w:val="24"/>
                <w:szCs w:val="24"/>
              </w:rPr>
              <w:t>, L Cassels</w:t>
            </w:r>
            <w:r w:rsidR="00741195">
              <w:rPr>
                <w:rFonts w:ascii="Rockwell" w:hAnsi="Rockwell"/>
                <w:b/>
                <w:sz w:val="24"/>
                <w:szCs w:val="24"/>
              </w:rPr>
              <w:t>, S Reilly</w:t>
            </w:r>
          </w:p>
        </w:tc>
      </w:tr>
      <w:tr w:rsidR="00000558" w14:paraId="42290C26" w14:textId="77777777">
        <w:tc>
          <w:tcPr>
            <w:tcW w:w="2091" w:type="dxa"/>
          </w:tcPr>
          <w:p w14:paraId="32A81649" w14:textId="6642E454" w:rsidR="00000558" w:rsidRDefault="00A26BAD">
            <w:pPr>
              <w:spacing w:before="120" w:after="120"/>
              <w:rPr>
                <w:rFonts w:ascii="Rockwell Condensed" w:hAnsi="Rockwell Condensed"/>
                <w:sz w:val="24"/>
                <w:szCs w:val="24"/>
              </w:rPr>
            </w:pPr>
            <w:r>
              <w:rPr>
                <w:rFonts w:ascii="Rockwell Condensed" w:hAnsi="Rockwell Condensed"/>
                <w:sz w:val="24"/>
                <w:szCs w:val="24"/>
              </w:rPr>
              <w:t>SENCo</w:t>
            </w:r>
          </w:p>
        </w:tc>
        <w:tc>
          <w:tcPr>
            <w:tcW w:w="8177" w:type="dxa"/>
          </w:tcPr>
          <w:p w14:paraId="756BC31C" w14:textId="7D8163D7" w:rsidR="00000558" w:rsidRDefault="00A17705">
            <w:pPr>
              <w:spacing w:before="120" w:after="120"/>
              <w:rPr>
                <w:rFonts w:ascii="Rockwell" w:hAnsi="Rockwell"/>
                <w:b/>
                <w:sz w:val="24"/>
                <w:szCs w:val="24"/>
              </w:rPr>
            </w:pPr>
            <w:r>
              <w:rPr>
                <w:rFonts w:ascii="Rockwell" w:hAnsi="Rockwell"/>
                <w:b/>
                <w:sz w:val="24"/>
                <w:szCs w:val="24"/>
              </w:rPr>
              <w:t>P Gardiner</w:t>
            </w:r>
          </w:p>
        </w:tc>
      </w:tr>
    </w:tbl>
    <w:p w14:paraId="3BC3D4C3" w14:textId="77777777" w:rsidR="00000558" w:rsidRDefault="00000558">
      <w:pPr>
        <w:spacing w:before="120" w:after="120" w:line="276" w:lineRule="auto"/>
        <w:rPr>
          <w:rFonts w:ascii="Rockwell" w:hAnsi="Rockwell" w:cs="Arial"/>
          <w:b/>
          <w:color w:val="FF3300"/>
        </w:rPr>
      </w:pPr>
    </w:p>
    <w:p w14:paraId="62C61734" w14:textId="77777777" w:rsidR="00000558" w:rsidRDefault="00A26BAD">
      <w:pPr>
        <w:pStyle w:val="Headinglevel1"/>
        <w:rPr>
          <w:rFonts w:ascii="Rockwell" w:hAnsi="Rockwell"/>
        </w:rPr>
      </w:pPr>
      <w:bookmarkStart w:id="2" w:name="_Toc449469093"/>
      <w:bookmarkStart w:id="3" w:name="_Toc460328856"/>
      <w:r>
        <w:rPr>
          <w:rFonts w:ascii="Rockwell" w:hAnsi="Rockwell"/>
        </w:rPr>
        <w:t>Purpose of the policy</w:t>
      </w:r>
      <w:bookmarkEnd w:id="2"/>
      <w:bookmarkEnd w:id="3"/>
    </w:p>
    <w:p w14:paraId="647501FA" w14:textId="77777777" w:rsidR="00000558" w:rsidRDefault="00A26BAD">
      <w:pPr>
        <w:pStyle w:val="Default"/>
        <w:spacing w:line="276" w:lineRule="auto"/>
        <w:rPr>
          <w:rFonts w:ascii="Rockwell" w:hAnsi="Rockwell" w:cs="Arial"/>
          <w:color w:val="auto"/>
        </w:rPr>
      </w:pPr>
      <w:r>
        <w:rPr>
          <w:rFonts w:ascii="Rockwell" w:hAnsi="Rockwell" w:cs="Arial"/>
        </w:rPr>
        <w:t>This policy details how Castle Manor Academy</w:t>
      </w:r>
      <w:r>
        <w:rPr>
          <w:rFonts w:ascii="Rockwell" w:hAnsi="Rockwell" w:cs="Arial"/>
          <w:color w:val="auto"/>
        </w:rPr>
        <w:t xml:space="preserve"> deals with an emergency evacuation of the exam room(s) by defining staff roles and responsibilities and confirming the emergency evacuation procedure.</w:t>
      </w:r>
    </w:p>
    <w:p w14:paraId="77D9B6B9" w14:textId="77777777" w:rsidR="00000558" w:rsidRDefault="00000558">
      <w:pPr>
        <w:autoSpaceDE w:val="0"/>
        <w:autoSpaceDN w:val="0"/>
        <w:adjustRightInd w:val="0"/>
        <w:spacing w:after="0" w:line="276" w:lineRule="auto"/>
        <w:rPr>
          <w:rFonts w:ascii="Rockwell" w:hAnsi="Rockwell" w:cs="Arial"/>
          <w:sz w:val="24"/>
          <w:szCs w:val="24"/>
        </w:rPr>
      </w:pPr>
    </w:p>
    <w:p w14:paraId="7643CE6A" w14:textId="77777777" w:rsidR="00000558" w:rsidRDefault="00A26BAD">
      <w:pPr>
        <w:pStyle w:val="Headinglevel1"/>
        <w:rPr>
          <w:rFonts w:ascii="Rockwell" w:hAnsi="Rockwell"/>
        </w:rPr>
      </w:pPr>
      <w:r>
        <w:rPr>
          <w:rFonts w:ascii="Rockwell" w:hAnsi="Rockwell"/>
        </w:rPr>
        <w:t>When is an emergency evacuation required?</w:t>
      </w:r>
    </w:p>
    <w:p w14:paraId="2252B86A" w14:textId="77777777" w:rsidR="00000558" w:rsidRDefault="00A26BAD">
      <w:pPr>
        <w:autoSpaceDE w:val="0"/>
        <w:autoSpaceDN w:val="0"/>
        <w:adjustRightInd w:val="0"/>
        <w:spacing w:before="120" w:after="120" w:line="276" w:lineRule="auto"/>
        <w:rPr>
          <w:rFonts w:ascii="Rockwell" w:hAnsi="Rockwell" w:cs="Arial"/>
          <w:bCs/>
          <w:sz w:val="24"/>
          <w:szCs w:val="24"/>
        </w:rPr>
      </w:pPr>
      <w:r>
        <w:rPr>
          <w:rFonts w:ascii="Rockwell" w:hAnsi="Rockwell" w:cs="Arial"/>
          <w:bCs/>
          <w:sz w:val="24"/>
          <w:szCs w:val="24"/>
        </w:rPr>
        <w:t xml:space="preserve">An emergency evacuation is required where it is unsafe for candidates to remain in the exam room. This might include a fire in the exam room, the fire alarm sounding to warn of fire, bomb alert or other serious threat. </w:t>
      </w:r>
    </w:p>
    <w:p w14:paraId="5A797061" w14:textId="77777777" w:rsidR="00000558" w:rsidRDefault="00A26BAD">
      <w:pPr>
        <w:spacing w:before="120" w:after="120" w:line="276" w:lineRule="auto"/>
        <w:rPr>
          <w:rFonts w:ascii="Rockwell" w:hAnsi="Rockwell"/>
          <w:sz w:val="24"/>
          <w:szCs w:val="24"/>
        </w:rPr>
      </w:pPr>
      <w:r>
        <w:rPr>
          <w:rFonts w:ascii="Rockwell" w:hAnsi="Rockwell"/>
          <w:sz w:val="24"/>
          <w:szCs w:val="24"/>
        </w:rPr>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14:paraId="7FD92A14" w14:textId="347CBBE5" w:rsidR="00000558" w:rsidRDefault="00A26BAD">
      <w:pPr>
        <w:spacing w:line="276" w:lineRule="auto"/>
        <w:rPr>
          <w:rFonts w:ascii="Rockwell" w:hAnsi="Rockwell"/>
          <w:sz w:val="24"/>
          <w:szCs w:val="24"/>
        </w:rPr>
      </w:pPr>
      <w:r>
        <w:rPr>
          <w:rFonts w:ascii="Rockwell" w:hAnsi="Rockwell"/>
          <w:sz w:val="24"/>
          <w:szCs w:val="24"/>
        </w:rPr>
        <w:t>As each incident may be different, advice will be sought from the relevant awarding body as soon as it is safe to do so</w:t>
      </w:r>
      <w:r w:rsidR="00A17705">
        <w:rPr>
          <w:rFonts w:ascii="Rockwell" w:hAnsi="Rockwell"/>
          <w:sz w:val="24"/>
          <w:szCs w:val="24"/>
        </w:rPr>
        <w:t>.</w:t>
      </w:r>
      <w:r>
        <w:rPr>
          <w:rFonts w:ascii="Rockwell" w:hAnsi="Rockwell"/>
          <w:sz w:val="24"/>
          <w:szCs w:val="24"/>
        </w:rPr>
        <w:t xml:space="preserve"> (ICE 25</w:t>
      </w:r>
      <w:r w:rsidR="000A0B1D">
        <w:rPr>
          <w:rFonts w:ascii="Rockwell" w:hAnsi="Rockwell"/>
          <w:sz w:val="24"/>
          <w:szCs w:val="24"/>
        </w:rPr>
        <w:t>.6</w:t>
      </w:r>
      <w:r>
        <w:rPr>
          <w:rFonts w:ascii="Rockwell" w:hAnsi="Rockwell"/>
          <w:sz w:val="24"/>
          <w:szCs w:val="24"/>
        </w:rPr>
        <w:t>)</w:t>
      </w:r>
    </w:p>
    <w:p w14:paraId="4930303C" w14:textId="2282DD5C" w:rsidR="00000558" w:rsidRDefault="00A26BAD">
      <w:pPr>
        <w:spacing w:line="276" w:lineRule="auto"/>
        <w:rPr>
          <w:rFonts w:ascii="Rockwell" w:hAnsi="Rockwell"/>
          <w:sz w:val="24"/>
          <w:szCs w:val="24"/>
        </w:rPr>
      </w:pPr>
      <w:r>
        <w:rPr>
          <w:rFonts w:ascii="Rockwell" w:hAnsi="Rockwell"/>
          <w:sz w:val="24"/>
          <w:szCs w:val="24"/>
        </w:rPr>
        <w:t xml:space="preserve">Where candidates are unable to return to the building to complete the examination, the relevant awarding body will be contacted immediately for advice. </w:t>
      </w:r>
    </w:p>
    <w:p w14:paraId="58B74816" w14:textId="77777777" w:rsidR="00000558" w:rsidRDefault="00A26BAD">
      <w:pPr>
        <w:pStyle w:val="Headinglevel1"/>
        <w:rPr>
          <w:rFonts w:ascii="Rockwell" w:hAnsi="Rockwell"/>
        </w:rPr>
      </w:pPr>
      <w:r>
        <w:rPr>
          <w:rFonts w:ascii="Rockwell" w:hAnsi="Rockwell"/>
        </w:rPr>
        <w:t>Emergency evacuation of an exam room</w:t>
      </w:r>
    </w:p>
    <w:p w14:paraId="0A55491D" w14:textId="77777777" w:rsidR="00000558" w:rsidRDefault="00A26BAD">
      <w:pPr>
        <w:pStyle w:val="Headinglevel2"/>
        <w:rPr>
          <w:rFonts w:ascii="Rockwell" w:hAnsi="Rockwell"/>
        </w:rPr>
      </w:pPr>
      <w:bookmarkStart w:id="4" w:name="_Toc449469096"/>
      <w:bookmarkStart w:id="5" w:name="_Toc460328859"/>
      <w:r>
        <w:rPr>
          <w:rFonts w:ascii="Rockwell" w:hAnsi="Rockwell"/>
        </w:rPr>
        <w:t>Roles and responsibilities</w:t>
      </w:r>
      <w:bookmarkEnd w:id="4"/>
      <w:bookmarkEnd w:id="5"/>
    </w:p>
    <w:p w14:paraId="04E29E34" w14:textId="77777777" w:rsidR="00000558" w:rsidRDefault="00A26BAD">
      <w:pPr>
        <w:spacing w:line="276" w:lineRule="auto"/>
        <w:rPr>
          <w:rFonts w:ascii="Rockwell" w:hAnsi="Rockwell" w:cs="Arial"/>
          <w:b/>
          <w:sz w:val="24"/>
          <w:szCs w:val="24"/>
        </w:rPr>
      </w:pPr>
      <w:r>
        <w:rPr>
          <w:rFonts w:ascii="Rockwell" w:hAnsi="Rockwell" w:cs="Arial"/>
          <w:b/>
          <w:sz w:val="24"/>
          <w:szCs w:val="24"/>
        </w:rPr>
        <w:t>Head of centre</w:t>
      </w:r>
    </w:p>
    <w:p w14:paraId="04DBDB01"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Ensures the emergency evacuation policy for exams is fit for purpose and complies with relevant health and safety regulation </w:t>
      </w:r>
    </w:p>
    <w:p w14:paraId="016D6BFD" w14:textId="6493AD6E"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Ensures any instructions from relevant local or national agencies are referenced and followed where applicable</w:t>
      </w:r>
    </w:p>
    <w:p w14:paraId="5DD48C58" w14:textId="5DBA0879" w:rsidR="00000558" w:rsidRDefault="00570085">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Ensures any breach of question paper security or malpractice is reported to the awarding body </w:t>
      </w:r>
      <w:r w:rsidRPr="00570085">
        <w:rPr>
          <w:rFonts w:ascii="Rockwell" w:hAnsi="Rockwell" w:cs="Arial"/>
          <w:b/>
          <w:bCs/>
          <w:sz w:val="24"/>
          <w:szCs w:val="24"/>
        </w:rPr>
        <w:t>immediately</w:t>
      </w:r>
      <w:r>
        <w:rPr>
          <w:rFonts w:ascii="Rockwell" w:hAnsi="Rockwell" w:cs="Arial"/>
          <w:sz w:val="24"/>
          <w:szCs w:val="24"/>
        </w:rPr>
        <w:t xml:space="preserve"> (ICE 25.5)</w:t>
      </w:r>
    </w:p>
    <w:p w14:paraId="3E18F818" w14:textId="77777777" w:rsidR="00000558" w:rsidRDefault="00000558">
      <w:pPr>
        <w:autoSpaceDE w:val="0"/>
        <w:autoSpaceDN w:val="0"/>
        <w:adjustRightInd w:val="0"/>
        <w:spacing w:after="0" w:line="276" w:lineRule="auto"/>
        <w:rPr>
          <w:rFonts w:ascii="Rockwell" w:hAnsi="Rockwell" w:cs="Arial"/>
          <w:sz w:val="24"/>
          <w:szCs w:val="24"/>
        </w:rPr>
      </w:pPr>
    </w:p>
    <w:p w14:paraId="5EF273C7" w14:textId="77777777" w:rsidR="00000558" w:rsidRDefault="00A26BAD">
      <w:pPr>
        <w:autoSpaceDE w:val="0"/>
        <w:autoSpaceDN w:val="0"/>
        <w:adjustRightInd w:val="0"/>
        <w:spacing w:after="0" w:line="276" w:lineRule="auto"/>
        <w:rPr>
          <w:rFonts w:ascii="Rockwell" w:hAnsi="Rockwell" w:cs="Arial"/>
          <w:b/>
          <w:sz w:val="24"/>
          <w:szCs w:val="24"/>
        </w:rPr>
      </w:pPr>
      <w:r>
        <w:rPr>
          <w:rFonts w:ascii="Rockwell" w:hAnsi="Rockwell" w:cs="Arial"/>
          <w:b/>
          <w:sz w:val="24"/>
          <w:szCs w:val="24"/>
        </w:rPr>
        <w:t>Senior leader</w:t>
      </w:r>
    </w:p>
    <w:p w14:paraId="165088F0"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lastRenderedPageBreak/>
        <w:t>Where responsible for the centre-wide emergency evacuation procedure, ensures all staff and appointed fire marshals are aware of the policy and procedures to be followed when an emergency evacuation of an exam room is required</w:t>
      </w:r>
    </w:p>
    <w:p w14:paraId="2AA22B64" w14:textId="77777777" w:rsidR="00000558" w:rsidRDefault="00000558">
      <w:pPr>
        <w:spacing w:after="0" w:line="276" w:lineRule="auto"/>
        <w:rPr>
          <w:rFonts w:ascii="Rockwell" w:hAnsi="Rockwell"/>
          <w:b/>
          <w:sz w:val="24"/>
          <w:szCs w:val="24"/>
        </w:rPr>
      </w:pPr>
    </w:p>
    <w:p w14:paraId="2A676AC1" w14:textId="1172CDEB" w:rsidR="00000558" w:rsidRDefault="00A26BAD">
      <w:pPr>
        <w:spacing w:after="0" w:line="276" w:lineRule="auto"/>
        <w:rPr>
          <w:rFonts w:ascii="Rockwell" w:hAnsi="Rockwell"/>
          <w:b/>
          <w:sz w:val="24"/>
          <w:szCs w:val="24"/>
        </w:rPr>
      </w:pPr>
      <w:r>
        <w:rPr>
          <w:rFonts w:ascii="Rockwell" w:hAnsi="Rockwell"/>
          <w:b/>
          <w:sz w:val="24"/>
          <w:szCs w:val="24"/>
        </w:rPr>
        <w:t>Special educational needs coordinator (SENCo)</w:t>
      </w:r>
    </w:p>
    <w:p w14:paraId="5C773645" w14:textId="77777777" w:rsidR="00000558" w:rsidRDefault="00A26BAD">
      <w:pPr>
        <w:pStyle w:val="ListParagraph"/>
        <w:numPr>
          <w:ilvl w:val="0"/>
          <w:numId w:val="3"/>
        </w:numPr>
        <w:spacing w:after="0" w:line="276" w:lineRule="auto"/>
        <w:rPr>
          <w:rFonts w:ascii="Rockwell" w:hAnsi="Rockwell"/>
          <w:sz w:val="24"/>
          <w:szCs w:val="24"/>
        </w:rPr>
      </w:pPr>
      <w:r>
        <w:rPr>
          <w:rFonts w:ascii="Rockwell" w:hAnsi="Rockwell"/>
          <w:sz w:val="24"/>
          <w:szCs w:val="24"/>
        </w:rPr>
        <w:t>Ensures appropriate arrangements are in place for the emergency evacuation of a disabled candidate from an exam room where different procedures or assistance may need to be provided for the candidate</w:t>
      </w:r>
    </w:p>
    <w:p w14:paraId="6469CBD5" w14:textId="77777777" w:rsidR="00000558" w:rsidRDefault="00A26BAD">
      <w:pPr>
        <w:pStyle w:val="ListParagraph"/>
        <w:numPr>
          <w:ilvl w:val="0"/>
          <w:numId w:val="3"/>
        </w:numPr>
        <w:spacing w:after="0" w:line="276" w:lineRule="auto"/>
        <w:rPr>
          <w:rFonts w:ascii="Rockwell" w:hAnsi="Rockwell"/>
          <w:sz w:val="24"/>
          <w:szCs w:val="24"/>
        </w:rPr>
      </w:pPr>
      <w:r>
        <w:rPr>
          <w:rFonts w:ascii="Rockwell" w:hAnsi="Rockwell"/>
          <w:sz w:val="24"/>
          <w:szCs w:val="24"/>
        </w:rPr>
        <w:t>Ensures the candidate is informed prior to taking their exams of what will happen in the event of an emergency evacuation</w:t>
      </w:r>
    </w:p>
    <w:p w14:paraId="49BD9141" w14:textId="77777777" w:rsidR="00000558" w:rsidRDefault="00000558">
      <w:pPr>
        <w:pStyle w:val="ListParagraph"/>
        <w:spacing w:after="0" w:line="276" w:lineRule="auto"/>
        <w:rPr>
          <w:rFonts w:ascii="Rockwell" w:hAnsi="Rockwell"/>
          <w:b/>
          <w:sz w:val="24"/>
          <w:szCs w:val="24"/>
        </w:rPr>
      </w:pPr>
    </w:p>
    <w:p w14:paraId="087A5384" w14:textId="77777777" w:rsidR="00000558" w:rsidRDefault="00A26BAD">
      <w:pPr>
        <w:spacing w:after="0" w:line="276" w:lineRule="auto"/>
        <w:rPr>
          <w:rFonts w:ascii="Rockwell" w:hAnsi="Rockwell" w:cs="Arial"/>
          <w:sz w:val="24"/>
          <w:szCs w:val="24"/>
        </w:rPr>
      </w:pPr>
      <w:proofErr w:type="gramStart"/>
      <w:r>
        <w:rPr>
          <w:rFonts w:ascii="Rockwell" w:hAnsi="Rockwell"/>
          <w:b/>
          <w:sz w:val="24"/>
          <w:szCs w:val="24"/>
        </w:rPr>
        <w:t>Exams</w:t>
      </w:r>
      <w:proofErr w:type="gramEnd"/>
      <w:r>
        <w:rPr>
          <w:rFonts w:ascii="Rockwell" w:hAnsi="Rockwell"/>
          <w:b/>
          <w:sz w:val="24"/>
          <w:szCs w:val="24"/>
        </w:rPr>
        <w:t xml:space="preserve"> officer</w:t>
      </w:r>
    </w:p>
    <w:p w14:paraId="57E2ADD1"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Ensures invigilators are trained in emergency evacuation procedures and how an incident and actions taken must be recorded</w:t>
      </w:r>
    </w:p>
    <w:p w14:paraId="2E3313FA"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Ensures candidates are briefed (</w:t>
      </w:r>
      <w:r>
        <w:rPr>
          <w:rFonts w:ascii="Rockwell" w:hAnsi="Rockwell" w:cs="Arial"/>
          <w:i/>
          <w:sz w:val="24"/>
          <w:szCs w:val="24"/>
        </w:rPr>
        <w:t>Candidate exam handbook</w:t>
      </w:r>
      <w:r>
        <w:rPr>
          <w:rFonts w:ascii="Rockwell" w:hAnsi="Rockwell" w:cs="Arial"/>
          <w:sz w:val="24"/>
          <w:szCs w:val="24"/>
        </w:rPr>
        <w:t xml:space="preserve">), prior to exams taking place, </w:t>
      </w:r>
      <w:bookmarkStart w:id="6" w:name="_Toc443551704"/>
      <w:r>
        <w:rPr>
          <w:rFonts w:ascii="Rockwell" w:hAnsi="Rockwell"/>
          <w:sz w:val="24"/>
          <w:szCs w:val="24"/>
        </w:rPr>
        <w:t>on what will happen in the event of an emergency in the exam room</w:t>
      </w:r>
      <w:bookmarkEnd w:id="6"/>
    </w:p>
    <w:p w14:paraId="78922A9E"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Provides invigilators with a copy of the emergency evacuation procedure for every exam room</w:t>
      </w:r>
    </w:p>
    <w:p w14:paraId="1A79F692"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Provides a standard invigilator announcement for each exam room which includes appropriate instructions for candidates about emergency procedures and what will happen if the fire alarm sounds </w:t>
      </w:r>
    </w:p>
    <w:p w14:paraId="53F50C97"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Provides an exam room incident log in each exam room</w:t>
      </w:r>
    </w:p>
    <w:p w14:paraId="7AF0D69E" w14:textId="7C526C63"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Liaises with the SENCo and other relevant staff prior to each exam where a different procedures or assistance may need to be provided for a disabled candidate</w:t>
      </w:r>
    </w:p>
    <w:p w14:paraId="04665C78"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Briefs invigilators prior to each exam where different procedures or assistance may need to be provided for a disabled candidate</w:t>
      </w:r>
    </w:p>
    <w:p w14:paraId="65F61ED0" w14:textId="77EB80A8"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Ensures appropriate follow-up is undertaken after an emergency evacuation reporting the incident to the awarding body and the actions taken </w:t>
      </w:r>
    </w:p>
    <w:p w14:paraId="20B391F6" w14:textId="1B1057A3" w:rsidR="00570085" w:rsidRDefault="00570085">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Ensures a full report of the incident is produced and retained on file if required by an awarding body (ICE 25.4)</w:t>
      </w:r>
    </w:p>
    <w:p w14:paraId="5CFEC3C8" w14:textId="546FA57B" w:rsidR="00570085" w:rsidRDefault="00570085">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Ensures an online application for special consideration is submitted to the relevant awarding body where candidates have been disadvantaged (ICE 25.7)</w:t>
      </w:r>
    </w:p>
    <w:p w14:paraId="2E090CBF" w14:textId="77777777" w:rsidR="00000558" w:rsidRDefault="00000558">
      <w:pPr>
        <w:autoSpaceDE w:val="0"/>
        <w:autoSpaceDN w:val="0"/>
        <w:adjustRightInd w:val="0"/>
        <w:spacing w:after="0" w:line="276" w:lineRule="auto"/>
        <w:rPr>
          <w:rFonts w:ascii="Rockwell" w:hAnsi="Rockwell" w:cs="Arial"/>
          <w:b/>
          <w:sz w:val="24"/>
          <w:szCs w:val="24"/>
        </w:rPr>
      </w:pPr>
    </w:p>
    <w:p w14:paraId="2C3AC68B" w14:textId="77777777" w:rsidR="00000558" w:rsidRDefault="00A26BAD">
      <w:pPr>
        <w:autoSpaceDE w:val="0"/>
        <w:autoSpaceDN w:val="0"/>
        <w:adjustRightInd w:val="0"/>
        <w:spacing w:after="0" w:line="276" w:lineRule="auto"/>
        <w:rPr>
          <w:rFonts w:ascii="Rockwell" w:hAnsi="Rockwell" w:cs="Arial"/>
          <w:b/>
          <w:sz w:val="24"/>
          <w:szCs w:val="24"/>
        </w:rPr>
      </w:pPr>
      <w:r>
        <w:rPr>
          <w:rFonts w:ascii="Rockwell" w:hAnsi="Rockwell" w:cs="Arial"/>
          <w:b/>
          <w:sz w:val="24"/>
          <w:szCs w:val="24"/>
        </w:rPr>
        <w:t>Invigilators</w:t>
      </w:r>
    </w:p>
    <w:p w14:paraId="65DF7D17"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By attending training and/or update sessions, ensure they understand what to do in the event of an emergency in the exam room</w:t>
      </w:r>
    </w:p>
    <w:p w14:paraId="49CEB6D8"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bCs/>
          <w:sz w:val="24"/>
          <w:szCs w:val="24"/>
        </w:rPr>
        <w:t>Follow the actions required in the emergency evacuation procedure issued to them for every exam room</w:t>
      </w:r>
    </w:p>
    <w:p w14:paraId="1A494DFE"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bCs/>
          <w:sz w:val="24"/>
          <w:szCs w:val="24"/>
        </w:rPr>
        <w:t xml:space="preserve">Confirm with the exams officer, where </w:t>
      </w:r>
      <w:r>
        <w:rPr>
          <w:rFonts w:ascii="Rockwell" w:hAnsi="Rockwell" w:cs="Arial"/>
          <w:sz w:val="24"/>
          <w:szCs w:val="24"/>
        </w:rPr>
        <w:t>different procedures or assistance may need to be provided for a disabled candidate they are invigilating</w:t>
      </w:r>
    </w:p>
    <w:p w14:paraId="0941D4BB" w14:textId="77777777" w:rsidR="00000558" w:rsidRDefault="00A26BAD">
      <w:pPr>
        <w:pStyle w:val="ListParagraph"/>
        <w:numPr>
          <w:ilvl w:val="0"/>
          <w:numId w:val="3"/>
        </w:numPr>
        <w:autoSpaceDE w:val="0"/>
        <w:autoSpaceDN w:val="0"/>
        <w:adjustRightInd w:val="0"/>
        <w:spacing w:after="0" w:line="276" w:lineRule="auto"/>
        <w:rPr>
          <w:rFonts w:ascii="Rockwell" w:hAnsi="Rockwell" w:cs="Arial"/>
          <w:b/>
          <w:sz w:val="24"/>
          <w:szCs w:val="24"/>
        </w:rPr>
      </w:pPr>
      <w:r>
        <w:rPr>
          <w:rFonts w:ascii="Rockwell" w:hAnsi="Rockwell" w:cs="Arial"/>
          <w:sz w:val="24"/>
          <w:szCs w:val="24"/>
        </w:rPr>
        <w:t xml:space="preserve">Record details on the exam room incident log to support follow-up reporting to the awarding body by the exams officer (see below) </w:t>
      </w:r>
    </w:p>
    <w:p w14:paraId="3D8ABA0A" w14:textId="77777777" w:rsidR="00000558" w:rsidRDefault="00000558">
      <w:pPr>
        <w:autoSpaceDE w:val="0"/>
        <w:autoSpaceDN w:val="0"/>
        <w:adjustRightInd w:val="0"/>
        <w:spacing w:after="0" w:line="276" w:lineRule="auto"/>
        <w:rPr>
          <w:rFonts w:ascii="Rockwell" w:hAnsi="Rockwell" w:cs="Arial"/>
          <w:b/>
          <w:sz w:val="24"/>
          <w:szCs w:val="24"/>
        </w:rPr>
      </w:pPr>
    </w:p>
    <w:p w14:paraId="0E0FDCA4" w14:textId="77777777" w:rsidR="00000558" w:rsidRDefault="00A26BAD">
      <w:pPr>
        <w:spacing w:after="0" w:line="276" w:lineRule="auto"/>
        <w:rPr>
          <w:rFonts w:ascii="Rockwell" w:hAnsi="Rockwell" w:cs="Arial"/>
          <w:b/>
          <w:sz w:val="24"/>
          <w:szCs w:val="24"/>
        </w:rPr>
      </w:pPr>
      <w:r>
        <w:rPr>
          <w:rFonts w:ascii="Rockwell" w:hAnsi="Rockwell" w:cs="Arial"/>
          <w:b/>
          <w:sz w:val="24"/>
          <w:szCs w:val="24"/>
        </w:rPr>
        <w:t>Other relevant centre staff</w:t>
      </w:r>
    </w:p>
    <w:p w14:paraId="11902C3D" w14:textId="0114FEC4" w:rsidR="00000558" w:rsidRDefault="00A26BAD">
      <w:pPr>
        <w:pStyle w:val="ListParagraph"/>
        <w:numPr>
          <w:ilvl w:val="0"/>
          <w:numId w:val="2"/>
        </w:numPr>
        <w:spacing w:line="276" w:lineRule="auto"/>
        <w:rPr>
          <w:rFonts w:ascii="Rockwell" w:hAnsi="Rockwell" w:cs="Arial"/>
          <w:sz w:val="24"/>
          <w:szCs w:val="24"/>
        </w:rPr>
      </w:pPr>
      <w:r>
        <w:rPr>
          <w:rFonts w:ascii="Rockwell" w:hAnsi="Rockwell" w:cs="Arial"/>
          <w:sz w:val="24"/>
          <w:szCs w:val="24"/>
        </w:rPr>
        <w:t>Support the senior leader, SENCo, exams officer and invigilators in ensuring the safe emergency evacuation of exam rooms</w:t>
      </w:r>
    </w:p>
    <w:p w14:paraId="62FDDD86" w14:textId="77777777" w:rsidR="00000558" w:rsidRDefault="00000558">
      <w:pPr>
        <w:spacing w:after="0" w:line="276" w:lineRule="auto"/>
        <w:rPr>
          <w:rFonts w:ascii="Rockwell" w:hAnsi="Rockwell" w:cs="Arial"/>
          <w:sz w:val="24"/>
          <w:szCs w:val="24"/>
        </w:rPr>
      </w:pPr>
    </w:p>
    <w:p w14:paraId="402854D1" w14:textId="77777777" w:rsidR="00000558" w:rsidRDefault="00A26BAD">
      <w:pPr>
        <w:spacing w:after="120" w:line="276" w:lineRule="auto"/>
        <w:rPr>
          <w:rFonts w:ascii="Rockwell" w:hAnsi="Rockwell"/>
          <w:b/>
          <w:sz w:val="24"/>
          <w:szCs w:val="24"/>
        </w:rPr>
      </w:pPr>
      <w:r>
        <w:rPr>
          <w:rFonts w:ascii="Rockwell" w:hAnsi="Rockwell"/>
          <w:b/>
          <w:sz w:val="24"/>
          <w:szCs w:val="24"/>
        </w:rPr>
        <w:lastRenderedPageBreak/>
        <w:t>Recording details</w:t>
      </w:r>
    </w:p>
    <w:p w14:paraId="664AA86B" w14:textId="77777777" w:rsidR="00000558" w:rsidRDefault="00A26BAD">
      <w:pPr>
        <w:spacing w:after="0" w:line="276" w:lineRule="auto"/>
        <w:rPr>
          <w:rFonts w:ascii="Rockwell" w:hAnsi="Rockwell"/>
          <w:sz w:val="24"/>
          <w:szCs w:val="24"/>
        </w:rPr>
      </w:pPr>
      <w:r>
        <w:rPr>
          <w:rFonts w:ascii="Rockwell" w:hAnsi="Rockwell"/>
          <w:sz w:val="24"/>
          <w:szCs w:val="24"/>
        </w:rPr>
        <w:t xml:space="preserve">As soon as practically possible and safe to do so, details should be recorded. Details must include: </w:t>
      </w:r>
    </w:p>
    <w:p w14:paraId="592C108C" w14:textId="77777777" w:rsidR="00000558" w:rsidRDefault="00A26BAD">
      <w:pPr>
        <w:pStyle w:val="ListParagraph"/>
        <w:numPr>
          <w:ilvl w:val="0"/>
          <w:numId w:val="5"/>
        </w:numPr>
        <w:spacing w:after="120" w:line="276" w:lineRule="auto"/>
        <w:rPr>
          <w:rFonts w:ascii="Rockwell" w:hAnsi="Rockwell"/>
          <w:sz w:val="24"/>
          <w:szCs w:val="24"/>
        </w:rPr>
      </w:pPr>
      <w:r>
        <w:rPr>
          <w:rFonts w:ascii="Rockwell" w:hAnsi="Rockwell"/>
          <w:sz w:val="24"/>
          <w:szCs w:val="24"/>
        </w:rPr>
        <w:t>the actual time of the start of the interruption</w:t>
      </w:r>
    </w:p>
    <w:p w14:paraId="0A83B87C" w14:textId="77777777" w:rsidR="00000558" w:rsidRDefault="00A26BAD">
      <w:pPr>
        <w:pStyle w:val="ListParagraph"/>
        <w:numPr>
          <w:ilvl w:val="0"/>
          <w:numId w:val="5"/>
        </w:numPr>
        <w:spacing w:after="120" w:line="276" w:lineRule="auto"/>
        <w:rPr>
          <w:rFonts w:ascii="Rockwell" w:hAnsi="Rockwell"/>
          <w:sz w:val="24"/>
          <w:szCs w:val="24"/>
        </w:rPr>
      </w:pPr>
      <w:r>
        <w:rPr>
          <w:rFonts w:ascii="Rockwell" w:hAnsi="Rockwell"/>
          <w:sz w:val="24"/>
          <w:szCs w:val="24"/>
        </w:rPr>
        <w:t>the actions taken</w:t>
      </w:r>
    </w:p>
    <w:p w14:paraId="7A49168E" w14:textId="77777777" w:rsidR="00000558" w:rsidRDefault="00A26BAD">
      <w:pPr>
        <w:pStyle w:val="ListParagraph"/>
        <w:numPr>
          <w:ilvl w:val="0"/>
          <w:numId w:val="5"/>
        </w:numPr>
        <w:spacing w:after="120" w:line="276" w:lineRule="auto"/>
        <w:rPr>
          <w:rFonts w:ascii="Rockwell" w:hAnsi="Rockwell"/>
          <w:sz w:val="24"/>
          <w:szCs w:val="24"/>
        </w:rPr>
      </w:pPr>
      <w:r>
        <w:rPr>
          <w:rFonts w:ascii="Rockwell" w:hAnsi="Rockwell"/>
          <w:sz w:val="24"/>
          <w:szCs w:val="24"/>
        </w:rPr>
        <w:t>the actual time the exam(s) resumed</w:t>
      </w:r>
    </w:p>
    <w:p w14:paraId="60F3378D"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sz w:val="24"/>
          <w:szCs w:val="24"/>
        </w:rPr>
        <w:t>the actual finishing time(s) of the resumed exam(s)</w:t>
      </w:r>
    </w:p>
    <w:p w14:paraId="6DA700B3" w14:textId="77777777" w:rsidR="00000558" w:rsidRDefault="00A26BAD">
      <w:pPr>
        <w:autoSpaceDE w:val="0"/>
        <w:autoSpaceDN w:val="0"/>
        <w:adjustRightInd w:val="0"/>
        <w:spacing w:before="120" w:after="0" w:line="276" w:lineRule="auto"/>
        <w:rPr>
          <w:rFonts w:ascii="Rockwell" w:hAnsi="Rockwell" w:cs="Arial"/>
          <w:sz w:val="24"/>
          <w:szCs w:val="24"/>
        </w:rPr>
      </w:pPr>
      <w:r>
        <w:rPr>
          <w:rFonts w:ascii="Rockwell" w:hAnsi="Rockwell"/>
          <w:sz w:val="24"/>
          <w:szCs w:val="24"/>
        </w:rPr>
        <w:t>Further details could include</w:t>
      </w:r>
    </w:p>
    <w:p w14:paraId="3AD2C31F"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report on candidate behaviour throughout the interruption/evacuation</w:t>
      </w:r>
    </w:p>
    <w:p w14:paraId="42944BE9" w14:textId="77777777" w:rsidR="00000558" w:rsidRDefault="00A26BAD">
      <w:pPr>
        <w:pStyle w:val="ListParagraph"/>
        <w:numPr>
          <w:ilvl w:val="0"/>
          <w:numId w:val="3"/>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a judgement on the impact on candidates after the interruption/evacuation</w:t>
      </w:r>
    </w:p>
    <w:p w14:paraId="4E3106B4" w14:textId="77777777" w:rsidR="00000558" w:rsidRDefault="00A26BAD">
      <w:pPr>
        <w:pStyle w:val="ListParagraph"/>
        <w:autoSpaceDE w:val="0"/>
        <w:autoSpaceDN w:val="0"/>
        <w:adjustRightInd w:val="0"/>
        <w:spacing w:after="0" w:line="276" w:lineRule="auto"/>
        <w:jc w:val="center"/>
        <w:rPr>
          <w:rFonts w:ascii="Rockwell" w:hAnsi="Rockwell" w:cs="Arial"/>
          <w:b/>
          <w:sz w:val="24"/>
          <w:szCs w:val="24"/>
          <w:u w:val="single"/>
        </w:rPr>
      </w:pPr>
      <w:r>
        <w:rPr>
          <w:rFonts w:ascii="Rockwell" w:hAnsi="Rockwell" w:cs="Arial"/>
          <w:sz w:val="24"/>
          <w:szCs w:val="24"/>
        </w:rPr>
        <w:br w:type="page"/>
      </w:r>
      <w:r>
        <w:rPr>
          <w:rFonts w:ascii="Trebuchet MS" w:hAnsi="Trebuchet MS"/>
          <w:b/>
          <w:u w:val="single"/>
        </w:rPr>
        <w:lastRenderedPageBreak/>
        <w:t>CASTLE MANOR ACADEMY</w:t>
      </w:r>
    </w:p>
    <w:p w14:paraId="49DB1828" w14:textId="77777777" w:rsidR="00000558" w:rsidRDefault="00000558">
      <w:pPr>
        <w:pStyle w:val="Title"/>
        <w:jc w:val="left"/>
        <w:rPr>
          <w:rFonts w:ascii="Trebuchet MS" w:hAnsi="Trebuchet MS"/>
          <w:sz w:val="22"/>
          <w:szCs w:val="22"/>
        </w:rPr>
      </w:pPr>
    </w:p>
    <w:p w14:paraId="753A9E87"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center"/>
        <w:rPr>
          <w:rFonts w:ascii="Trebuchet MS" w:hAnsi="Trebuchet MS"/>
          <w:b/>
          <w:u w:val="single"/>
        </w:rPr>
      </w:pPr>
      <w:r>
        <w:rPr>
          <w:rFonts w:ascii="Trebuchet MS" w:hAnsi="Trebuchet MS"/>
          <w:b/>
          <w:u w:val="single"/>
        </w:rPr>
        <w:t>EMERGENCY FIRE EVACUATION</w:t>
      </w:r>
    </w:p>
    <w:p w14:paraId="64E0A5BD"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center"/>
        <w:rPr>
          <w:rFonts w:ascii="Trebuchet MS" w:hAnsi="Trebuchet MS"/>
          <w:u w:val="single"/>
        </w:rPr>
      </w:pPr>
      <w:r>
        <w:rPr>
          <w:rFonts w:ascii="Trebuchet MS" w:hAnsi="Trebuchet MS"/>
          <w:b/>
          <w:u w:val="single"/>
        </w:rPr>
        <w:t>STAFF RESPONSIBILITIES</w:t>
      </w:r>
      <w:r>
        <w:rPr>
          <w:rFonts w:ascii="Trebuchet MS" w:hAnsi="Trebuchet MS"/>
          <w:u w:val="single"/>
        </w:rPr>
        <w:t>:</w:t>
      </w:r>
    </w:p>
    <w:p w14:paraId="194337E0"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sz w:val="21"/>
          <w:szCs w:val="21"/>
        </w:rPr>
      </w:pPr>
    </w:p>
    <w:p w14:paraId="42C35BA6"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sz w:val="21"/>
          <w:szCs w:val="21"/>
        </w:rPr>
      </w:pPr>
    </w:p>
    <w:p w14:paraId="5B9FCFE3"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sz w:val="21"/>
          <w:szCs w:val="21"/>
        </w:rPr>
      </w:pPr>
    </w:p>
    <w:p w14:paraId="1CF7167A"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sz w:val="21"/>
          <w:szCs w:val="21"/>
        </w:rPr>
      </w:pPr>
    </w:p>
    <w:p w14:paraId="4E260615"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In the event of a fire evacuation during an exam the procedures are as follows:</w:t>
      </w:r>
    </w:p>
    <w:p w14:paraId="23C44393"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3B61201D"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1819DDD7"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Everyone must stop writing and close their exam answer booklet</w:t>
      </w:r>
    </w:p>
    <w:p w14:paraId="33604AC3"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1020E386"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Make a note of the time on the whiteboard</w:t>
      </w:r>
    </w:p>
    <w:p w14:paraId="58C5467F"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232E6688" w14:textId="34A10FE3"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 xml:space="preserve">Bring the seating plans with you, switch the radio that is in your room on and bring with you.  You must leave everything else, all exam papers in the exam rooms on desks </w:t>
      </w:r>
    </w:p>
    <w:p w14:paraId="46203491"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5C8D6B40"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You must make your way out of the building via your nearest exit – all students must remain in silence, there must be no communication with anybody</w:t>
      </w:r>
    </w:p>
    <w:p w14:paraId="38586884"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32AE69DE"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Lead all students and other invigilators to the tennis courts</w:t>
      </w:r>
    </w:p>
    <w:p w14:paraId="68204249"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389BE627"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Once on the tennis courts a role call will be made by Pauline Cleary – who will then inform attendance</w:t>
      </w:r>
    </w:p>
    <w:p w14:paraId="4FD934C4"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5ACA31CC"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The students will stay silent at all times</w:t>
      </w:r>
    </w:p>
    <w:p w14:paraId="19E53CD9"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0A5C0D3A" w14:textId="304107C0"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Once alarm has been rectified all students are to be led back into the exam rooms</w:t>
      </w:r>
    </w:p>
    <w:p w14:paraId="08742CFC"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p>
    <w:p w14:paraId="6BEE7AE3" w14:textId="77777777" w:rsidR="00000558" w:rsidRDefault="00A26BAD">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rPr>
      </w:pPr>
      <w:r>
        <w:rPr>
          <w:rFonts w:ascii="Trebuchet MS" w:hAnsi="Trebuchet MS"/>
        </w:rPr>
        <w:t>Exam will recommence once all students are settled</w:t>
      </w:r>
    </w:p>
    <w:p w14:paraId="36ED5146"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sz w:val="21"/>
          <w:szCs w:val="21"/>
        </w:rPr>
      </w:pPr>
    </w:p>
    <w:p w14:paraId="4953B92E" w14:textId="77777777" w:rsidR="00000558" w:rsidRDefault="00000558">
      <w:pPr>
        <w:pBdr>
          <w:top w:val="single" w:sz="4" w:space="4" w:color="auto"/>
          <w:left w:val="single" w:sz="4" w:space="4" w:color="auto"/>
          <w:bottom w:val="single" w:sz="4" w:space="31" w:color="auto"/>
          <w:right w:val="single" w:sz="4" w:space="4" w:color="auto"/>
        </w:pBdr>
        <w:shd w:val="pct15" w:color="auto" w:fill="FFFFFF"/>
        <w:jc w:val="both"/>
        <w:rPr>
          <w:rFonts w:ascii="Trebuchet MS" w:hAnsi="Trebuchet MS"/>
          <w:sz w:val="21"/>
          <w:szCs w:val="21"/>
        </w:rPr>
      </w:pPr>
    </w:p>
    <w:p w14:paraId="2BF3EFE1" w14:textId="77777777" w:rsidR="00000558" w:rsidRDefault="00000558">
      <w:pPr>
        <w:spacing w:after="200" w:line="276" w:lineRule="auto"/>
        <w:rPr>
          <w:rFonts w:ascii="Rockwell" w:hAnsi="Rockwell" w:cs="Arial"/>
          <w:sz w:val="24"/>
          <w:szCs w:val="24"/>
        </w:rPr>
      </w:pPr>
    </w:p>
    <w:sectPr w:rsidR="00000558">
      <w:footerReference w:type="default" r:id="rId11"/>
      <w:footerReference w:type="first" r:id="rId12"/>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9AF8" w14:textId="77777777" w:rsidR="00000558" w:rsidRDefault="00A26BAD">
      <w:pPr>
        <w:spacing w:after="0"/>
      </w:pPr>
      <w:r>
        <w:separator/>
      </w:r>
    </w:p>
  </w:endnote>
  <w:endnote w:type="continuationSeparator" w:id="0">
    <w:p w14:paraId="29D359ED" w14:textId="77777777" w:rsidR="00000558" w:rsidRDefault="00A26B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42443"/>
      <w:docPartObj>
        <w:docPartGallery w:val="Page Numbers (Bottom of Page)"/>
        <w:docPartUnique/>
      </w:docPartObj>
    </w:sdtPr>
    <w:sdtEndPr>
      <w:rPr>
        <w:noProof/>
      </w:rPr>
    </w:sdtEndPr>
    <w:sdtContent>
      <w:p w14:paraId="706FF045" w14:textId="77777777" w:rsidR="00000558" w:rsidRDefault="00A26B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18121" w14:textId="77777777" w:rsidR="00000558" w:rsidRDefault="00000558">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A7E2" w14:textId="77777777" w:rsidR="00000558" w:rsidRDefault="00A26BAD">
    <w:pPr>
      <w:pStyle w:val="Headinglevel1"/>
      <w:spacing w:after="0"/>
      <w:ind w:left="-426"/>
      <w:rPr>
        <w:rFonts w:cs="Arial"/>
        <w:b w:val="0"/>
        <w:noProof/>
        <w:sz w:val="20"/>
        <w:szCs w:val="20"/>
      </w:rPr>
    </w:pPr>
    <w:r>
      <w:rPr>
        <w:rFonts w:cs="Arial"/>
        <w:b w:val="0"/>
        <w:i/>
        <w:color w:val="666666"/>
        <w:sz w:val="18"/>
        <w:szCs w:val="18"/>
      </w:rPr>
      <w:t xml:space="preserve">This template is provided for members of The Exams Office </w:t>
    </w:r>
    <w:r>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2C46" w14:textId="77777777" w:rsidR="00000558" w:rsidRDefault="00A26BAD">
      <w:pPr>
        <w:spacing w:after="0"/>
      </w:pPr>
      <w:r>
        <w:separator/>
      </w:r>
    </w:p>
  </w:footnote>
  <w:footnote w:type="continuationSeparator" w:id="0">
    <w:p w14:paraId="17286586" w14:textId="77777777" w:rsidR="00000558" w:rsidRDefault="00A26B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B7A"/>
    <w:multiLevelType w:val="hybridMultilevel"/>
    <w:tmpl w:val="B5E47F7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E6C89"/>
    <w:multiLevelType w:val="hybridMultilevel"/>
    <w:tmpl w:val="096E2756"/>
    <w:lvl w:ilvl="0" w:tplc="A330F1F6">
      <w:start w:val="1"/>
      <w:numFmt w:val="bullet"/>
      <w:lvlText w:val=""/>
      <w:lvlJc w:val="left"/>
      <w:pPr>
        <w:ind w:left="720" w:hanging="360"/>
      </w:pPr>
      <w:rPr>
        <w:rFonts w:ascii="Symbol" w:hAnsi="Symbol" w:hint="default"/>
        <w:color w:val="0000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B1228"/>
    <w:multiLevelType w:val="hybridMultilevel"/>
    <w:tmpl w:val="557E27F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74337"/>
    <w:multiLevelType w:val="hybridMultilevel"/>
    <w:tmpl w:val="8926F95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228EF"/>
    <w:multiLevelType w:val="hybridMultilevel"/>
    <w:tmpl w:val="453A1818"/>
    <w:lvl w:ilvl="0" w:tplc="0AC8F098">
      <w:start w:val="1"/>
      <w:numFmt w:val="bullet"/>
      <w:lvlText w:val=""/>
      <w:lvlJc w:val="left"/>
      <w:pPr>
        <w:ind w:left="720" w:hanging="360"/>
      </w:pPr>
      <w:rPr>
        <w:rFonts w:ascii="Wingdings 3" w:hAnsi="Wingdings 3"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167E6"/>
    <w:multiLevelType w:val="hybridMultilevel"/>
    <w:tmpl w:val="83781312"/>
    <w:lvl w:ilvl="0" w:tplc="0AC8F098">
      <w:start w:val="1"/>
      <w:numFmt w:val="bullet"/>
      <w:lvlText w:val=""/>
      <w:lvlJc w:val="left"/>
      <w:pPr>
        <w:ind w:left="720" w:hanging="360"/>
      </w:pPr>
      <w:rPr>
        <w:rFonts w:ascii="Wingdings 3" w:hAnsi="Wingdings 3"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558"/>
    <w:rsid w:val="00000558"/>
    <w:rsid w:val="000A0B1D"/>
    <w:rsid w:val="003B0519"/>
    <w:rsid w:val="00570085"/>
    <w:rsid w:val="00741195"/>
    <w:rsid w:val="00A17705"/>
    <w:rsid w:val="00A26B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244E10"/>
  <w15:docId w15:val="{13253FE1-3AA5-4A84-9BE0-F53688C7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Arial" w:hAnsi="Aria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gem-c-organisation-logoname">
    <w:name w:val="gem-c-organisation-logo__name"/>
    <w:basedOn w:val="DefaultParagraphFont"/>
  </w:style>
  <w:style w:type="paragraph" w:styleId="Title">
    <w:name w:val="Title"/>
    <w:basedOn w:val="Normal"/>
    <w:link w:val="TitleChar"/>
    <w:qFormat/>
    <w:pPr>
      <w:spacing w:after="0"/>
      <w:jc w:val="center"/>
    </w:pPr>
    <w:rPr>
      <w:rFonts w:ascii="Comic Sans MS" w:eastAsia="Times New Roman" w:hAnsi="Comic Sans MS" w:cs="Times New Roman"/>
      <w:b/>
      <w:bCs/>
      <w:sz w:val="24"/>
      <w:szCs w:val="24"/>
      <w:lang w:eastAsia="en-US"/>
    </w:rPr>
  </w:style>
  <w:style w:type="character" w:customStyle="1" w:styleId="TitleChar">
    <w:name w:val="Title Char"/>
    <w:basedOn w:val="DefaultParagraphFont"/>
    <w:link w:val="Title"/>
    <w:rPr>
      <w:rFonts w:ascii="Comic Sans MS" w:eastAsia="Times New Roman" w:hAnsi="Comic Sans MS"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19060">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AC8A79-4D98-48DA-B567-D07EB0C626E5}">
  <ds:schemaRefs>
    <ds:schemaRef ds:uri="http://schemas.openxmlformats.org/officeDocument/2006/bibliography"/>
  </ds:schemaRefs>
</ds:datastoreItem>
</file>

<file path=customXml/itemProps3.xml><?xml version="1.0" encoding="utf-8"?>
<ds:datastoreItem xmlns:ds="http://schemas.openxmlformats.org/officeDocument/2006/customXml" ds:itemID="{4B1EF1C9-CC71-42A4-968E-98ABB5155BDD}"/>
</file>

<file path=customXml/itemProps4.xml><?xml version="1.0" encoding="utf-8"?>
<ds:datastoreItem xmlns:ds="http://schemas.openxmlformats.org/officeDocument/2006/customXml" ds:itemID="{633AF3DB-4E33-44E1-84F4-442CB656760F}"/>
</file>

<file path=customXml/itemProps5.xml><?xml version="1.0" encoding="utf-8"?>
<ds:datastoreItem xmlns:ds="http://schemas.openxmlformats.org/officeDocument/2006/customXml" ds:itemID="{36DFFA53-210C-418A-9FE7-E2EDD7B9BF04}"/>
</file>

<file path=docProps/app.xml><?xml version="1.0" encoding="utf-8"?>
<Properties xmlns="http://schemas.openxmlformats.org/officeDocument/2006/extended-properties" xmlns:vt="http://schemas.openxmlformats.org/officeDocument/2006/docPropsVTypes">
  <Template>Normal.dotm</Template>
  <TotalTime>43</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Castle Manor Academy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This policy is reviewed annually to ensure compliance with current regulations</dc:subject>
  <dc:creator>localuser</dc:creator>
  <cp:lastModifiedBy>Pauline Cleary</cp:lastModifiedBy>
  <cp:revision>12</cp:revision>
  <dcterms:created xsi:type="dcterms:W3CDTF">2019-02-13T16:19:00Z</dcterms:created>
  <dcterms:modified xsi:type="dcterms:W3CDTF">2026-01-12T12:43:00Z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